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788EE" w14:textId="77777777" w:rsidR="00AD0DF5" w:rsidRDefault="00AD0DF5" w:rsidP="00D25F13">
      <w:pPr>
        <w:pStyle w:val="Titolo1"/>
        <w:spacing w:before="0"/>
        <w:rPr>
          <w:rFonts w:ascii="Sitka Text" w:eastAsiaTheme="minorHAnsi" w:hAnsi="Sitka Text" w:cs="Times New Roman"/>
          <w:color w:val="000000"/>
          <w:sz w:val="24"/>
          <w:szCs w:val="24"/>
        </w:rPr>
      </w:pPr>
      <w:r w:rsidRPr="0022442E">
        <w:rPr>
          <w:rFonts w:ascii="DecimaWE Rg" w:hAnsi="DecimaWE Rg"/>
        </w:rPr>
        <w:t>FARMACOVIGILANZ</w:t>
      </w:r>
      <w:bookmarkStart w:id="0" w:name="_GoBack"/>
      <w:bookmarkEnd w:id="0"/>
      <w:r w:rsidRPr="0022442E">
        <w:rPr>
          <w:rFonts w:ascii="DecimaWE Rg" w:hAnsi="DecimaWE Rg"/>
        </w:rPr>
        <w:t>A</w:t>
      </w:r>
    </w:p>
    <w:p w14:paraId="370D027B" w14:textId="77777777" w:rsidR="00AD0DF5" w:rsidRPr="002D29C0" w:rsidRDefault="00AD0DF5" w:rsidP="00881DC6">
      <w:pPr>
        <w:ind w:left="78"/>
        <w:rPr>
          <w:rFonts w:ascii="DecimaWE Rg" w:hAnsi="DecimaWE Rg" w:cs="Calibri"/>
          <w:b/>
        </w:rPr>
      </w:pPr>
    </w:p>
    <w:p w14:paraId="0924F15E" w14:textId="77777777" w:rsidR="00AD0DF5" w:rsidRPr="002D29C0" w:rsidRDefault="00AD0DF5" w:rsidP="00881DC6">
      <w:pPr>
        <w:pStyle w:val="Titolo2"/>
        <w:numPr>
          <w:ilvl w:val="0"/>
          <w:numId w:val="8"/>
        </w:numPr>
        <w:rPr>
          <w:rFonts w:ascii="DecimaWE Rg" w:hAnsi="DecimaWE Rg"/>
          <w:b/>
          <w:i/>
        </w:rPr>
      </w:pPr>
      <w:r w:rsidRPr="002D29C0">
        <w:rPr>
          <w:rFonts w:ascii="DecimaWE Rg" w:hAnsi="DecimaWE Rg"/>
          <w:b/>
          <w:i/>
        </w:rPr>
        <w:t>Il punto di vista del segnalatore</w:t>
      </w:r>
    </w:p>
    <w:p w14:paraId="694C5DF7" w14:textId="77777777" w:rsidR="00AD0DF5" w:rsidRDefault="00AD0DF5" w:rsidP="00881DC6">
      <w:pPr>
        <w:jc w:val="both"/>
        <w:rPr>
          <w:rFonts w:ascii="DecimaWE Rg" w:hAnsi="DecimaWE Rg" w:cs="Calibri"/>
          <w:b/>
          <w:color w:val="385623" w:themeColor="accent6" w:themeShade="80"/>
          <w:u w:val="single"/>
        </w:rPr>
      </w:pPr>
    </w:p>
    <w:p w14:paraId="31BDBD20" w14:textId="77777777" w:rsidR="00AD0DF5" w:rsidRPr="004D4927" w:rsidRDefault="007A0DB9" w:rsidP="004D4927">
      <w:pPr>
        <w:ind w:left="78"/>
        <w:jc w:val="both"/>
        <w:rPr>
          <w:rFonts w:ascii="DecimaWE Rg" w:hAnsi="DecimaWE Rg" w:cs="Calibri"/>
          <w:sz w:val="22"/>
        </w:rPr>
      </w:pPr>
      <w:r w:rsidRPr="007A0DB9">
        <w:rPr>
          <w:rFonts w:ascii="DecimaWE Rg" w:hAnsi="DecimaWE Rg" w:cs="Calibri"/>
          <w:sz w:val="22"/>
        </w:rPr>
        <w:t>Considerati i casi clinici</w:t>
      </w:r>
      <w:r w:rsidR="002D29C0">
        <w:rPr>
          <w:rFonts w:ascii="DecimaWE Rg" w:hAnsi="DecimaWE Rg" w:cs="Calibri"/>
          <w:sz w:val="22"/>
        </w:rPr>
        <w:t>,</w:t>
      </w:r>
      <w:r w:rsidRPr="007A0DB9">
        <w:rPr>
          <w:rFonts w:ascii="DecimaWE Rg" w:hAnsi="DecimaWE Rg" w:cs="Calibri"/>
          <w:sz w:val="22"/>
        </w:rPr>
        <w:t xml:space="preserve"> valutare se e come compilare una </w:t>
      </w:r>
      <w:r w:rsidR="00422233">
        <w:rPr>
          <w:rFonts w:ascii="DecimaWE Rg" w:hAnsi="DecimaWE Rg" w:cs="Calibri"/>
          <w:sz w:val="22"/>
        </w:rPr>
        <w:t xml:space="preserve">segnalazione di </w:t>
      </w:r>
      <w:r w:rsidRPr="007A0DB9">
        <w:rPr>
          <w:rFonts w:ascii="DecimaWE Rg" w:hAnsi="DecimaWE Rg" w:cs="Calibri"/>
          <w:sz w:val="22"/>
        </w:rPr>
        <w:t>sosp</w:t>
      </w:r>
      <w:r w:rsidR="00351500">
        <w:rPr>
          <w:rFonts w:ascii="DecimaWE Rg" w:hAnsi="DecimaWE Rg" w:cs="Calibri"/>
          <w:sz w:val="22"/>
        </w:rPr>
        <w:t xml:space="preserve">etta </w:t>
      </w:r>
      <w:r w:rsidR="00351500" w:rsidRPr="00F254E4">
        <w:rPr>
          <w:rFonts w:ascii="DecimaWE Rg" w:hAnsi="DecimaWE Rg" w:cs="Calibri"/>
          <w:i/>
          <w:sz w:val="22"/>
        </w:rPr>
        <w:t>ADR</w:t>
      </w:r>
      <w:r w:rsidR="00351500">
        <w:rPr>
          <w:rFonts w:ascii="DecimaWE Rg" w:hAnsi="DecimaWE Rg" w:cs="Calibri"/>
          <w:sz w:val="22"/>
        </w:rPr>
        <w:t>.</w:t>
      </w:r>
    </w:p>
    <w:p w14:paraId="76D7E763" w14:textId="0B6FB5F8" w:rsidR="00422233" w:rsidRDefault="00422233" w:rsidP="00514C88">
      <w:pPr>
        <w:jc w:val="both"/>
        <w:rPr>
          <w:rFonts w:ascii="DecimaWE Rg" w:hAnsi="DecimaWE Rg" w:cs="Calibri"/>
        </w:rPr>
      </w:pPr>
    </w:p>
    <w:p w14:paraId="53D4C510" w14:textId="77777777" w:rsidR="00422233" w:rsidRPr="002D29C0" w:rsidRDefault="00422233" w:rsidP="00881DC6">
      <w:pPr>
        <w:pStyle w:val="Titolo2"/>
        <w:numPr>
          <w:ilvl w:val="0"/>
          <w:numId w:val="8"/>
        </w:numPr>
        <w:rPr>
          <w:rFonts w:ascii="DecimaWE Rg" w:hAnsi="DecimaWE Rg"/>
          <w:b/>
          <w:i/>
        </w:rPr>
      </w:pPr>
      <w:r w:rsidRPr="002D29C0">
        <w:rPr>
          <w:rFonts w:ascii="DecimaWE Rg" w:hAnsi="DecimaWE Rg"/>
          <w:b/>
          <w:i/>
        </w:rPr>
        <w:t>Il punto di vista del Centro Regionale di Farmacovigilanza (CRFV)</w:t>
      </w:r>
    </w:p>
    <w:p w14:paraId="2498D9A5" w14:textId="77777777" w:rsidR="00422233" w:rsidRDefault="00422233" w:rsidP="00881DC6">
      <w:pPr>
        <w:ind w:left="78"/>
        <w:jc w:val="both"/>
        <w:rPr>
          <w:rFonts w:ascii="DecimaWE Rg" w:hAnsi="DecimaWE Rg" w:cs="Calibri"/>
        </w:rPr>
      </w:pPr>
    </w:p>
    <w:p w14:paraId="16E258D3" w14:textId="00588627" w:rsidR="00BB3C40" w:rsidRDefault="004F2AD5" w:rsidP="00881DC6">
      <w:pPr>
        <w:ind w:left="78"/>
        <w:jc w:val="both"/>
        <w:rPr>
          <w:rFonts w:ascii="DecimaWE Rg" w:hAnsi="DecimaWE Rg" w:cs="Calibri"/>
          <w:sz w:val="22"/>
        </w:rPr>
      </w:pPr>
      <w:r w:rsidRPr="002260D4">
        <w:rPr>
          <w:rFonts w:ascii="DecimaWE Rg" w:hAnsi="DecimaWE Rg" w:cs="Calibri"/>
          <w:sz w:val="22"/>
        </w:rPr>
        <w:t>La segnalazione</w:t>
      </w:r>
      <w:r w:rsidR="00F254E4">
        <w:rPr>
          <w:rFonts w:ascii="DecimaWE Rg" w:hAnsi="DecimaWE Rg" w:cs="Calibri"/>
          <w:sz w:val="22"/>
        </w:rPr>
        <w:t>,</w:t>
      </w:r>
      <w:r w:rsidRPr="002260D4">
        <w:rPr>
          <w:rFonts w:ascii="DecimaWE Rg" w:hAnsi="DecimaWE Rg" w:cs="Calibri"/>
          <w:sz w:val="22"/>
        </w:rPr>
        <w:t xml:space="preserve"> validata </w:t>
      </w:r>
      <w:r w:rsidR="00514C88">
        <w:rPr>
          <w:rFonts w:ascii="DecimaWE Rg" w:hAnsi="DecimaWE Rg" w:cs="Calibri"/>
          <w:sz w:val="22"/>
        </w:rPr>
        <w:t>dal Responsabile Locale di Farmacovigilanza</w:t>
      </w:r>
      <w:r w:rsidR="00F254E4">
        <w:rPr>
          <w:rFonts w:ascii="DecimaWE Rg" w:hAnsi="DecimaWE Rg" w:cs="Calibri"/>
          <w:sz w:val="22"/>
        </w:rPr>
        <w:t>,</w:t>
      </w:r>
      <w:r w:rsidRPr="002260D4">
        <w:rPr>
          <w:rFonts w:ascii="DecimaWE Rg" w:hAnsi="DecimaWE Rg" w:cs="Calibri"/>
          <w:sz w:val="22"/>
        </w:rPr>
        <w:t xml:space="preserve"> </w:t>
      </w:r>
      <w:r w:rsidR="00514C88">
        <w:rPr>
          <w:rFonts w:ascii="DecimaWE Rg" w:hAnsi="DecimaWE Rg" w:cs="Calibri"/>
          <w:sz w:val="22"/>
        </w:rPr>
        <w:t xml:space="preserve">risulta </w:t>
      </w:r>
      <w:r w:rsidRPr="002260D4">
        <w:rPr>
          <w:rFonts w:ascii="DecimaWE Rg" w:hAnsi="DecimaWE Rg" w:cs="Calibri"/>
          <w:sz w:val="22"/>
        </w:rPr>
        <w:t>ora essere inserita in RNF</w:t>
      </w:r>
      <w:r w:rsidR="00BB3C40" w:rsidRPr="002260D4">
        <w:rPr>
          <w:rFonts w:ascii="DecimaWE Rg" w:hAnsi="DecimaWE Rg" w:cs="Calibri"/>
          <w:sz w:val="22"/>
        </w:rPr>
        <w:t>.</w:t>
      </w:r>
    </w:p>
    <w:p w14:paraId="04764DE1" w14:textId="77777777" w:rsidR="00580E85" w:rsidRDefault="00580E85" w:rsidP="00580E85">
      <w:pPr>
        <w:ind w:left="78"/>
        <w:jc w:val="both"/>
        <w:rPr>
          <w:rFonts w:ascii="DecimaWE Rg" w:hAnsi="DecimaWE Rg" w:cs="Calibri"/>
          <w:sz w:val="22"/>
        </w:rPr>
      </w:pPr>
      <w:r w:rsidRPr="002260D4">
        <w:rPr>
          <w:rFonts w:ascii="DecimaWE Rg" w:hAnsi="DecimaWE Rg" w:cs="Calibri"/>
          <w:sz w:val="22"/>
        </w:rPr>
        <w:t>L’operatore del CRFV controlla la qualità del dato</w:t>
      </w:r>
      <w:r>
        <w:rPr>
          <w:rFonts w:ascii="DecimaWE Rg" w:hAnsi="DecimaWE Rg" w:cs="Calibri"/>
          <w:sz w:val="22"/>
        </w:rPr>
        <w:t>, richiede informazioni aggiuntive se lo ritiene necessario</w:t>
      </w:r>
      <w:r w:rsidRPr="002260D4">
        <w:rPr>
          <w:rFonts w:ascii="DecimaWE Rg" w:hAnsi="DecimaWE Rg" w:cs="Calibri"/>
          <w:sz w:val="22"/>
        </w:rPr>
        <w:t xml:space="preserve"> e, per le reazioni gravi, effettua la valutazione del nesso di causalità (</w:t>
      </w:r>
      <w:r w:rsidRPr="00893884">
        <w:rPr>
          <w:rFonts w:ascii="DecimaWE Rg" w:hAnsi="DecimaWE Rg" w:cs="Calibri"/>
          <w:i/>
          <w:sz w:val="22"/>
        </w:rPr>
        <w:t>causality assessment</w:t>
      </w:r>
      <w:r w:rsidRPr="002260D4">
        <w:rPr>
          <w:rFonts w:ascii="DecimaWE Rg" w:hAnsi="DecimaWE Rg" w:cs="Calibri"/>
          <w:sz w:val="22"/>
        </w:rPr>
        <w:t>).</w:t>
      </w:r>
    </w:p>
    <w:p w14:paraId="49965F32" w14:textId="77777777" w:rsidR="00580E85" w:rsidRDefault="00580E85" w:rsidP="00881DC6">
      <w:pPr>
        <w:ind w:left="78"/>
        <w:jc w:val="both"/>
        <w:rPr>
          <w:rFonts w:ascii="DecimaWE Rg" w:hAnsi="DecimaWE Rg" w:cs="Calibri"/>
          <w:sz w:val="22"/>
        </w:rPr>
      </w:pPr>
    </w:p>
    <w:p w14:paraId="28CECC52" w14:textId="77777777" w:rsidR="00580E85" w:rsidRPr="008E0EE3" w:rsidRDefault="00580E85" w:rsidP="00580E85">
      <w:pPr>
        <w:ind w:left="78"/>
        <w:rPr>
          <w:rFonts w:ascii="DecimaWE Rg" w:hAnsi="DecimaWE Rg"/>
          <w:b/>
          <w:sz w:val="20"/>
          <w:u w:val="single"/>
        </w:rPr>
      </w:pPr>
      <w:r w:rsidRPr="00BB3C40">
        <w:rPr>
          <w:rFonts w:ascii="DecimaWE Rg" w:hAnsi="DecimaWE Rg"/>
          <w:b/>
          <w:sz w:val="20"/>
          <w:u w:val="single"/>
        </w:rPr>
        <w:t>EVENTUALE FOLLOW UP</w:t>
      </w:r>
      <w:r w:rsidRPr="005E7316">
        <w:rPr>
          <w:rFonts w:ascii="DecimaWE Rg" w:hAnsi="DecimaWE Rg"/>
          <w:b/>
          <w:sz w:val="20"/>
          <w:u w:val="single"/>
        </w:rPr>
        <w:t xml:space="preserve"> </w:t>
      </w:r>
      <w:r>
        <w:rPr>
          <w:rFonts w:ascii="DecimaWE Rg" w:hAnsi="DecimaWE Rg"/>
          <w:b/>
          <w:sz w:val="20"/>
          <w:u w:val="single"/>
        </w:rPr>
        <w:t xml:space="preserve">E </w:t>
      </w:r>
      <w:r w:rsidRPr="005E7316">
        <w:rPr>
          <w:rFonts w:ascii="DecimaWE Rg" w:hAnsi="DecimaWE Rg"/>
          <w:b/>
          <w:sz w:val="20"/>
          <w:u w:val="single"/>
        </w:rPr>
        <w:t>CAUSALITY ASSESSMENT</w:t>
      </w:r>
    </w:p>
    <w:p w14:paraId="20812063" w14:textId="77777777" w:rsidR="00580E85" w:rsidRPr="002260D4" w:rsidRDefault="00580E85" w:rsidP="00881DC6">
      <w:pPr>
        <w:ind w:left="78"/>
        <w:jc w:val="both"/>
        <w:rPr>
          <w:rFonts w:ascii="DecimaWE Rg" w:hAnsi="DecimaWE Rg" w:cs="Calibri"/>
          <w:sz w:val="22"/>
        </w:rPr>
      </w:pPr>
    </w:p>
    <w:p w14:paraId="14C42B18" w14:textId="140CE71B" w:rsidR="00580E85" w:rsidRPr="00D056CF" w:rsidRDefault="00514C88" w:rsidP="00D056CF">
      <w:pPr>
        <w:pStyle w:val="Paragrafoelenco"/>
        <w:numPr>
          <w:ilvl w:val="0"/>
          <w:numId w:val="5"/>
        </w:numPr>
        <w:spacing w:after="240"/>
        <w:ind w:left="798"/>
        <w:jc w:val="both"/>
        <w:rPr>
          <w:rFonts w:ascii="DecimaWE Rg" w:hAnsi="DecimaWE Rg"/>
        </w:rPr>
      </w:pPr>
      <w:r>
        <w:rPr>
          <w:rFonts w:ascii="DecimaWE Rg" w:hAnsi="DecimaWE Rg"/>
        </w:rPr>
        <w:t>C</w:t>
      </w:r>
      <w:r w:rsidR="00580E85">
        <w:rPr>
          <w:rFonts w:ascii="DecimaWE Rg" w:hAnsi="DecimaWE Rg"/>
        </w:rPr>
        <w:t>hiedereste</w:t>
      </w:r>
      <w:r w:rsidR="00580E85" w:rsidRPr="00BB3C40">
        <w:rPr>
          <w:rFonts w:ascii="DecimaWE Rg" w:hAnsi="DecimaWE Rg"/>
        </w:rPr>
        <w:t xml:space="preserve"> </w:t>
      </w:r>
      <w:r w:rsidR="00580E85">
        <w:rPr>
          <w:rFonts w:ascii="DecimaWE Rg" w:hAnsi="DecimaWE Rg"/>
        </w:rPr>
        <w:t xml:space="preserve">ulteriori informazioni </w:t>
      </w:r>
      <w:r w:rsidR="00D056CF">
        <w:rPr>
          <w:rFonts w:ascii="DecimaWE Rg" w:hAnsi="DecimaWE Rg"/>
        </w:rPr>
        <w:t xml:space="preserve">o modifiche </w:t>
      </w:r>
      <w:r w:rsidR="00580E85" w:rsidRPr="00BB3C40">
        <w:rPr>
          <w:rFonts w:ascii="DecimaWE Rg" w:hAnsi="DecimaWE Rg"/>
        </w:rPr>
        <w:t>per migliorare la qualità della segnalazione?</w:t>
      </w:r>
    </w:p>
    <w:p w14:paraId="44B5E2E1" w14:textId="380E4F68" w:rsidR="002260D4" w:rsidRPr="00580E85" w:rsidRDefault="00D056CF" w:rsidP="00580E85">
      <w:pPr>
        <w:pStyle w:val="Paragrafoelenco"/>
        <w:numPr>
          <w:ilvl w:val="0"/>
          <w:numId w:val="9"/>
        </w:numPr>
        <w:jc w:val="both"/>
        <w:rPr>
          <w:rFonts w:ascii="DecimaWE Rg" w:hAnsi="DecimaWE Rg"/>
        </w:rPr>
      </w:pPr>
      <w:r>
        <w:rPr>
          <w:rFonts w:ascii="DecimaWE Rg" w:hAnsi="DecimaWE Rg"/>
        </w:rPr>
        <w:t>Effettuata quest’ultima verifica, u</w:t>
      </w:r>
      <w:r w:rsidR="002260D4" w:rsidRPr="00580E85">
        <w:rPr>
          <w:rFonts w:ascii="DecimaWE Rg" w:hAnsi="DecimaWE Rg"/>
        </w:rPr>
        <w:t>tilizzare l’algoritmo di Naranjo per la valutazione dell’associazione causale.</w:t>
      </w:r>
    </w:p>
    <w:p w14:paraId="10CD9D32" w14:textId="77777777" w:rsidR="002260D4" w:rsidRPr="005E7316" w:rsidRDefault="002260D4" w:rsidP="002260D4">
      <w:pPr>
        <w:jc w:val="both"/>
        <w:rPr>
          <w:rFonts w:ascii="DecimaWE Rg" w:hAnsi="DecimaWE Rg"/>
          <w:b/>
          <w:sz w:val="20"/>
          <w:u w:val="single"/>
        </w:rPr>
      </w:pPr>
    </w:p>
    <w:p w14:paraId="3B143745" w14:textId="77777777" w:rsidR="002260D4" w:rsidRDefault="002260D4" w:rsidP="002260D4">
      <w:pPr>
        <w:ind w:left="156"/>
        <w:jc w:val="both"/>
        <w:rPr>
          <w:rFonts w:ascii="DecimaWE Rg" w:hAnsi="DecimaWE Rg" w:cs="Calibri"/>
          <w:sz w:val="22"/>
        </w:rPr>
      </w:pPr>
    </w:p>
    <w:p w14:paraId="11991D13" w14:textId="77777777" w:rsidR="002260D4" w:rsidRDefault="002260D4" w:rsidP="00881DC6">
      <w:pPr>
        <w:ind w:left="78"/>
        <w:jc w:val="both"/>
        <w:rPr>
          <w:rFonts w:ascii="DecimaWE Rg" w:hAnsi="DecimaWE Rg" w:cs="Calibri"/>
          <w:sz w:val="22"/>
        </w:rPr>
      </w:pPr>
    </w:p>
    <w:p w14:paraId="39FD0E8F" w14:textId="77777777" w:rsidR="002260D4" w:rsidRDefault="002260D4" w:rsidP="00881DC6">
      <w:pPr>
        <w:ind w:left="78"/>
        <w:jc w:val="both"/>
        <w:rPr>
          <w:rFonts w:ascii="DecimaWE Rg" w:hAnsi="DecimaWE Rg" w:cs="Calibri"/>
          <w:sz w:val="22"/>
        </w:rPr>
      </w:pPr>
    </w:p>
    <w:p w14:paraId="3C2467AE" w14:textId="77777777" w:rsidR="002260D4" w:rsidRDefault="002260D4" w:rsidP="00881DC6">
      <w:pPr>
        <w:ind w:left="78"/>
        <w:jc w:val="both"/>
        <w:rPr>
          <w:rFonts w:ascii="DecimaWE Rg" w:hAnsi="DecimaWE Rg" w:cs="Calibri"/>
          <w:sz w:val="22"/>
        </w:rPr>
      </w:pPr>
    </w:p>
    <w:p w14:paraId="5BAA4EFB" w14:textId="77777777" w:rsidR="002260D4" w:rsidRDefault="002260D4" w:rsidP="00881DC6">
      <w:pPr>
        <w:ind w:left="78"/>
        <w:jc w:val="both"/>
        <w:rPr>
          <w:rFonts w:ascii="DecimaWE Rg" w:hAnsi="DecimaWE Rg" w:cs="Calibri"/>
          <w:sz w:val="22"/>
        </w:rPr>
      </w:pPr>
    </w:p>
    <w:p w14:paraId="2FA4EC0B" w14:textId="77777777" w:rsidR="002260D4" w:rsidRDefault="002260D4" w:rsidP="00881DC6">
      <w:pPr>
        <w:ind w:left="78"/>
        <w:jc w:val="both"/>
        <w:rPr>
          <w:rFonts w:ascii="DecimaWE Rg" w:hAnsi="DecimaWE Rg" w:cs="Calibri"/>
          <w:sz w:val="22"/>
        </w:rPr>
      </w:pPr>
    </w:p>
    <w:p w14:paraId="65003B4F" w14:textId="77777777" w:rsidR="002260D4" w:rsidRDefault="002260D4" w:rsidP="00881DC6">
      <w:pPr>
        <w:ind w:left="78"/>
        <w:jc w:val="both"/>
        <w:rPr>
          <w:rFonts w:ascii="DecimaWE Rg" w:hAnsi="DecimaWE Rg" w:cs="Calibri"/>
          <w:sz w:val="22"/>
        </w:rPr>
      </w:pPr>
    </w:p>
    <w:p w14:paraId="54F03351" w14:textId="77777777" w:rsidR="00351500" w:rsidRDefault="00351500" w:rsidP="00881DC6">
      <w:pPr>
        <w:ind w:left="78"/>
        <w:jc w:val="both"/>
        <w:rPr>
          <w:rFonts w:ascii="DecimaWE Rg" w:hAnsi="DecimaWE Rg" w:cs="Calibri"/>
          <w:sz w:val="22"/>
        </w:rPr>
      </w:pPr>
    </w:p>
    <w:p w14:paraId="1DEDA0AA" w14:textId="77777777" w:rsidR="00351500" w:rsidRDefault="00351500" w:rsidP="00881DC6">
      <w:pPr>
        <w:ind w:left="78"/>
        <w:jc w:val="both"/>
        <w:rPr>
          <w:rFonts w:ascii="DecimaWE Rg" w:hAnsi="DecimaWE Rg" w:cs="Calibri"/>
          <w:sz w:val="22"/>
        </w:rPr>
      </w:pPr>
    </w:p>
    <w:p w14:paraId="4039655C" w14:textId="77777777" w:rsidR="00351500" w:rsidRDefault="00351500" w:rsidP="00881DC6">
      <w:pPr>
        <w:ind w:left="78"/>
        <w:jc w:val="both"/>
        <w:rPr>
          <w:rFonts w:ascii="DecimaWE Rg" w:hAnsi="DecimaWE Rg" w:cs="Calibri"/>
          <w:sz w:val="22"/>
        </w:rPr>
      </w:pPr>
    </w:p>
    <w:p w14:paraId="74F25ED3" w14:textId="77777777" w:rsidR="00351500" w:rsidRDefault="00351500" w:rsidP="00881DC6">
      <w:pPr>
        <w:ind w:left="78"/>
        <w:jc w:val="both"/>
        <w:rPr>
          <w:rFonts w:ascii="DecimaWE Rg" w:hAnsi="DecimaWE Rg" w:cs="Calibri"/>
          <w:sz w:val="22"/>
        </w:rPr>
      </w:pPr>
    </w:p>
    <w:p w14:paraId="112CADC8" w14:textId="77777777" w:rsidR="00351500" w:rsidRDefault="00351500" w:rsidP="00881DC6">
      <w:pPr>
        <w:ind w:left="78"/>
        <w:jc w:val="both"/>
        <w:rPr>
          <w:rFonts w:ascii="DecimaWE Rg" w:hAnsi="DecimaWE Rg" w:cs="Calibri"/>
          <w:sz w:val="22"/>
        </w:rPr>
      </w:pPr>
    </w:p>
    <w:p w14:paraId="7A137F22" w14:textId="77777777" w:rsidR="002260D4" w:rsidRDefault="002260D4" w:rsidP="00881DC6">
      <w:pPr>
        <w:ind w:left="78"/>
        <w:jc w:val="both"/>
        <w:rPr>
          <w:rFonts w:ascii="DecimaWE Rg" w:hAnsi="DecimaWE Rg" w:cs="Calibri"/>
          <w:sz w:val="22"/>
        </w:rPr>
      </w:pPr>
    </w:p>
    <w:p w14:paraId="5901455E" w14:textId="77777777" w:rsidR="002260D4" w:rsidRDefault="002260D4" w:rsidP="00881DC6">
      <w:pPr>
        <w:ind w:left="78"/>
        <w:jc w:val="both"/>
        <w:rPr>
          <w:rFonts w:ascii="DecimaWE Rg" w:hAnsi="DecimaWE Rg" w:cs="Calibri"/>
          <w:sz w:val="22"/>
        </w:rPr>
      </w:pPr>
    </w:p>
    <w:p w14:paraId="20CF1778" w14:textId="77777777" w:rsidR="002260D4" w:rsidRDefault="002260D4" w:rsidP="00881DC6">
      <w:pPr>
        <w:ind w:left="78"/>
        <w:jc w:val="both"/>
        <w:rPr>
          <w:rFonts w:ascii="DecimaWE Rg" w:hAnsi="DecimaWE Rg" w:cs="Calibri"/>
          <w:sz w:val="22"/>
        </w:rPr>
      </w:pPr>
    </w:p>
    <w:p w14:paraId="43C414C9" w14:textId="77777777" w:rsidR="002260D4" w:rsidRDefault="002260D4" w:rsidP="00881DC6">
      <w:pPr>
        <w:ind w:left="78"/>
        <w:jc w:val="both"/>
        <w:rPr>
          <w:rFonts w:ascii="DecimaWE Rg" w:hAnsi="DecimaWE Rg" w:cs="Calibri"/>
          <w:sz w:val="22"/>
        </w:rPr>
      </w:pPr>
    </w:p>
    <w:p w14:paraId="545E33B7" w14:textId="77777777" w:rsidR="002260D4" w:rsidRDefault="002260D4" w:rsidP="00881DC6">
      <w:pPr>
        <w:ind w:left="78"/>
        <w:jc w:val="both"/>
        <w:rPr>
          <w:rFonts w:ascii="DecimaWE Rg" w:hAnsi="DecimaWE Rg" w:cs="Calibri"/>
          <w:sz w:val="22"/>
        </w:rPr>
      </w:pPr>
    </w:p>
    <w:p w14:paraId="3CF2E55F" w14:textId="0D07CE37" w:rsidR="002260D4" w:rsidRDefault="002260D4" w:rsidP="00881DC6">
      <w:pPr>
        <w:ind w:left="78"/>
        <w:jc w:val="both"/>
        <w:rPr>
          <w:rFonts w:ascii="DecimaWE Rg" w:hAnsi="DecimaWE Rg" w:cs="Calibri"/>
          <w:sz w:val="22"/>
        </w:rPr>
      </w:pPr>
    </w:p>
    <w:p w14:paraId="7F7ED6AA" w14:textId="3FFE2AEC" w:rsidR="00514C88" w:rsidRDefault="00514C88" w:rsidP="00881DC6">
      <w:pPr>
        <w:ind w:left="78"/>
        <w:jc w:val="both"/>
        <w:rPr>
          <w:rFonts w:ascii="DecimaWE Rg" w:hAnsi="DecimaWE Rg" w:cs="Calibri"/>
          <w:sz w:val="22"/>
        </w:rPr>
      </w:pPr>
    </w:p>
    <w:p w14:paraId="14C1809F" w14:textId="5E7001EB" w:rsidR="00514C88" w:rsidRDefault="00514C88" w:rsidP="00881DC6">
      <w:pPr>
        <w:ind w:left="78"/>
        <w:jc w:val="both"/>
        <w:rPr>
          <w:rFonts w:ascii="DecimaWE Rg" w:hAnsi="DecimaWE Rg" w:cs="Calibri"/>
          <w:sz w:val="22"/>
        </w:rPr>
      </w:pPr>
    </w:p>
    <w:p w14:paraId="0A066A05" w14:textId="331DE688" w:rsidR="00514C88" w:rsidRDefault="00514C88" w:rsidP="00881DC6">
      <w:pPr>
        <w:ind w:left="78"/>
        <w:jc w:val="both"/>
        <w:rPr>
          <w:rFonts w:ascii="DecimaWE Rg" w:hAnsi="DecimaWE Rg" w:cs="Calibri"/>
          <w:sz w:val="22"/>
        </w:rPr>
      </w:pPr>
    </w:p>
    <w:p w14:paraId="1D21C966" w14:textId="3438074D" w:rsidR="00514C88" w:rsidRDefault="00514C88" w:rsidP="00881DC6">
      <w:pPr>
        <w:ind w:left="78"/>
        <w:jc w:val="both"/>
        <w:rPr>
          <w:rFonts w:ascii="DecimaWE Rg" w:hAnsi="DecimaWE Rg" w:cs="Calibri"/>
          <w:sz w:val="22"/>
        </w:rPr>
      </w:pPr>
    </w:p>
    <w:p w14:paraId="647CE61E" w14:textId="2695023D" w:rsidR="00514C88" w:rsidRDefault="00514C88" w:rsidP="00881DC6">
      <w:pPr>
        <w:ind w:left="78"/>
        <w:jc w:val="both"/>
        <w:rPr>
          <w:rFonts w:ascii="DecimaWE Rg" w:hAnsi="DecimaWE Rg" w:cs="Calibri"/>
          <w:sz w:val="22"/>
        </w:rPr>
      </w:pPr>
    </w:p>
    <w:p w14:paraId="3D83A2DF" w14:textId="7E0C0E23" w:rsidR="00514C88" w:rsidRDefault="00514C88" w:rsidP="00881DC6">
      <w:pPr>
        <w:ind w:left="78"/>
        <w:jc w:val="both"/>
        <w:rPr>
          <w:rFonts w:ascii="DecimaWE Rg" w:hAnsi="DecimaWE Rg" w:cs="Calibri"/>
          <w:sz w:val="22"/>
        </w:rPr>
      </w:pPr>
    </w:p>
    <w:p w14:paraId="2F875FB5" w14:textId="776F7A7E" w:rsidR="00514C88" w:rsidRDefault="00514C88" w:rsidP="00881DC6">
      <w:pPr>
        <w:ind w:left="78"/>
        <w:jc w:val="both"/>
        <w:rPr>
          <w:rFonts w:ascii="DecimaWE Rg" w:hAnsi="DecimaWE Rg" w:cs="Calibri"/>
          <w:sz w:val="22"/>
        </w:rPr>
      </w:pPr>
    </w:p>
    <w:p w14:paraId="0ABB2884" w14:textId="490E036E" w:rsidR="00514C88" w:rsidRDefault="00514C88" w:rsidP="00881DC6">
      <w:pPr>
        <w:ind w:left="78"/>
        <w:jc w:val="both"/>
        <w:rPr>
          <w:rFonts w:ascii="DecimaWE Rg" w:hAnsi="DecimaWE Rg" w:cs="Calibri"/>
          <w:sz w:val="22"/>
        </w:rPr>
      </w:pPr>
    </w:p>
    <w:p w14:paraId="39A664A2" w14:textId="77777777" w:rsidR="00514C88" w:rsidRDefault="00514C88" w:rsidP="00881DC6">
      <w:pPr>
        <w:ind w:left="78"/>
        <w:jc w:val="both"/>
        <w:rPr>
          <w:rFonts w:ascii="DecimaWE Rg" w:hAnsi="DecimaWE Rg" w:cs="Calibri"/>
          <w:sz w:val="22"/>
        </w:rPr>
      </w:pPr>
    </w:p>
    <w:p w14:paraId="4D564AF2" w14:textId="77777777" w:rsidR="00BB3C40" w:rsidRDefault="00BB3C40" w:rsidP="00706BEE"/>
    <w:p w14:paraId="0286132A" w14:textId="77777777" w:rsidR="00881DC6" w:rsidRDefault="00881DC6" w:rsidP="00573647"/>
    <w:p w14:paraId="6C99DF4A" w14:textId="77777777" w:rsidR="00706BEE" w:rsidRPr="002260D4" w:rsidRDefault="00706BEE" w:rsidP="00706BEE">
      <w:pPr>
        <w:jc w:val="center"/>
        <w:rPr>
          <w:rFonts w:ascii="DecimaWE Rg" w:hAnsi="DecimaWE Rg"/>
          <w:b/>
        </w:rPr>
      </w:pPr>
      <w:r w:rsidRPr="002260D4">
        <w:rPr>
          <w:rFonts w:ascii="DecimaWE Rg" w:hAnsi="DecimaWE Rg"/>
          <w:b/>
        </w:rPr>
        <w:lastRenderedPageBreak/>
        <w:t>ALGORITMO NARANJO</w:t>
      </w:r>
    </w:p>
    <w:p w14:paraId="6617FA17" w14:textId="77777777" w:rsidR="00706BEE" w:rsidRDefault="00706BEE" w:rsidP="00706BEE"/>
    <w:p w14:paraId="40E23DF7" w14:textId="77777777" w:rsidR="00706BEE" w:rsidRDefault="00706BEE" w:rsidP="00706BEE"/>
    <w:tbl>
      <w:tblPr>
        <w:tblStyle w:val="Grigliatabella"/>
        <w:tblW w:w="9843" w:type="dxa"/>
        <w:tblLayout w:type="fixed"/>
        <w:tblLook w:val="04A0" w:firstRow="1" w:lastRow="0" w:firstColumn="1" w:lastColumn="0" w:noHBand="0" w:noVBand="1"/>
      </w:tblPr>
      <w:tblGrid>
        <w:gridCol w:w="7225"/>
        <w:gridCol w:w="567"/>
        <w:gridCol w:w="567"/>
        <w:gridCol w:w="708"/>
        <w:gridCol w:w="776"/>
      </w:tblGrid>
      <w:tr w:rsidR="00706BEE" w14:paraId="1CCBBC7E" w14:textId="77777777" w:rsidTr="00851CA2">
        <w:trPr>
          <w:trHeight w:val="941"/>
        </w:trPr>
        <w:tc>
          <w:tcPr>
            <w:tcW w:w="7225" w:type="dxa"/>
            <w:shd w:val="clear" w:color="auto" w:fill="BDD6EE" w:themeFill="accent1" w:themeFillTint="66"/>
            <w:vAlign w:val="center"/>
          </w:tcPr>
          <w:p w14:paraId="426FFF00" w14:textId="77777777" w:rsidR="00706BEE" w:rsidRPr="00763B47" w:rsidRDefault="00706BEE" w:rsidP="00851CA2">
            <w:pPr>
              <w:jc w:val="center"/>
              <w:rPr>
                <w:rFonts w:ascii="DecimaWE Rg" w:hAnsi="DecimaWE Rg"/>
                <w:sz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5D968DC5" w14:textId="77777777" w:rsidR="00706BEE" w:rsidRPr="00763B47" w:rsidRDefault="00706BEE" w:rsidP="00851CA2">
            <w:pPr>
              <w:jc w:val="center"/>
              <w:rPr>
                <w:rFonts w:ascii="DecimaWE Rg" w:hAnsi="DecimaWE Rg"/>
                <w:b/>
                <w:sz w:val="18"/>
              </w:rPr>
            </w:pPr>
            <w:r w:rsidRPr="00763B47">
              <w:rPr>
                <w:rFonts w:ascii="DecimaWE Rg" w:hAnsi="DecimaWE Rg"/>
                <w:b/>
                <w:sz w:val="18"/>
              </w:rPr>
              <w:t>SI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73C9B88C" w14:textId="77777777" w:rsidR="00706BEE" w:rsidRPr="00763B47" w:rsidRDefault="00706BEE" w:rsidP="00851CA2">
            <w:pPr>
              <w:jc w:val="center"/>
              <w:rPr>
                <w:rFonts w:ascii="DecimaWE Rg" w:hAnsi="DecimaWE Rg"/>
                <w:b/>
                <w:sz w:val="18"/>
              </w:rPr>
            </w:pPr>
            <w:r w:rsidRPr="00763B47">
              <w:rPr>
                <w:rFonts w:ascii="DecimaWE Rg" w:hAnsi="DecimaWE Rg"/>
                <w:b/>
                <w:sz w:val="18"/>
              </w:rPr>
              <w:t>NO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14:paraId="1CB9C7FA" w14:textId="77777777" w:rsidR="00706BEE" w:rsidRPr="00763B47" w:rsidRDefault="00706BEE" w:rsidP="00851CA2">
            <w:pPr>
              <w:jc w:val="center"/>
              <w:rPr>
                <w:rFonts w:ascii="DecimaWE Rg" w:hAnsi="DecimaWE Rg"/>
                <w:b/>
                <w:sz w:val="18"/>
              </w:rPr>
            </w:pPr>
            <w:r w:rsidRPr="00763B47">
              <w:rPr>
                <w:rFonts w:ascii="DecimaWE Rg" w:hAnsi="DecimaWE Rg"/>
                <w:b/>
                <w:sz w:val="18"/>
              </w:rPr>
              <w:t>NON NOTO</w:t>
            </w:r>
          </w:p>
        </w:tc>
        <w:tc>
          <w:tcPr>
            <w:tcW w:w="776" w:type="dxa"/>
            <w:shd w:val="clear" w:color="auto" w:fill="BDD6EE" w:themeFill="accent1" w:themeFillTint="66"/>
            <w:vAlign w:val="center"/>
          </w:tcPr>
          <w:p w14:paraId="1E3971B4" w14:textId="77777777" w:rsidR="00706BEE" w:rsidRPr="00763B47" w:rsidRDefault="00706BEE" w:rsidP="00851CA2">
            <w:pPr>
              <w:jc w:val="center"/>
              <w:rPr>
                <w:rFonts w:ascii="DecimaWE Rg" w:hAnsi="DecimaWE Rg"/>
                <w:b/>
                <w:sz w:val="18"/>
              </w:rPr>
            </w:pPr>
            <w:r w:rsidRPr="00763B47">
              <w:rPr>
                <w:rFonts w:ascii="DecimaWE Rg" w:hAnsi="DecimaWE Rg"/>
                <w:b/>
                <w:sz w:val="18"/>
              </w:rPr>
              <w:t>PUNTI</w:t>
            </w:r>
          </w:p>
        </w:tc>
      </w:tr>
      <w:tr w:rsidR="00706BEE" w14:paraId="3D2F3E5F" w14:textId="77777777" w:rsidTr="00851CA2">
        <w:trPr>
          <w:trHeight w:val="859"/>
        </w:trPr>
        <w:tc>
          <w:tcPr>
            <w:tcW w:w="7225" w:type="dxa"/>
            <w:vAlign w:val="center"/>
          </w:tcPr>
          <w:p w14:paraId="4F0AE6CB" w14:textId="77777777" w:rsidR="00706BEE" w:rsidRPr="006D1198" w:rsidRDefault="00706BEE" w:rsidP="00851CA2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DecimaWE Rg" w:hAnsi="DecimaWE Rg"/>
                <w:b/>
                <w:sz w:val="20"/>
              </w:rPr>
            </w:pPr>
            <w:r w:rsidRPr="006D1198">
              <w:rPr>
                <w:rFonts w:ascii="DecimaWE Rg" w:hAnsi="DecimaWE Rg"/>
                <w:b/>
                <w:sz w:val="20"/>
              </w:rPr>
              <w:t>Sono presenti in letteratura altre segnalazioni o studi riguardanti questa reazione?</w:t>
            </w:r>
          </w:p>
        </w:tc>
        <w:tc>
          <w:tcPr>
            <w:tcW w:w="567" w:type="dxa"/>
            <w:vAlign w:val="center"/>
          </w:tcPr>
          <w:p w14:paraId="7044DC59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  <w:r w:rsidRPr="00CB3E3D">
              <w:rPr>
                <w:rFonts w:ascii="DecimaWE Rg" w:hAnsi="DecimaWE Rg"/>
                <w:sz w:val="22"/>
              </w:rPr>
              <w:t>+1</w:t>
            </w:r>
          </w:p>
        </w:tc>
        <w:tc>
          <w:tcPr>
            <w:tcW w:w="567" w:type="dxa"/>
            <w:vAlign w:val="center"/>
          </w:tcPr>
          <w:p w14:paraId="1CC64409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  <w:r w:rsidRPr="00CB3E3D">
              <w:rPr>
                <w:rFonts w:ascii="DecimaWE Rg" w:hAnsi="DecimaWE Rg"/>
                <w:sz w:val="22"/>
              </w:rPr>
              <w:t>0</w:t>
            </w:r>
          </w:p>
        </w:tc>
        <w:tc>
          <w:tcPr>
            <w:tcW w:w="708" w:type="dxa"/>
            <w:vAlign w:val="center"/>
          </w:tcPr>
          <w:p w14:paraId="7D2CD0ED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  <w:r w:rsidRPr="00CB3E3D">
              <w:rPr>
                <w:rFonts w:ascii="DecimaWE Rg" w:hAnsi="DecimaWE Rg"/>
                <w:sz w:val="22"/>
              </w:rPr>
              <w:t>0</w:t>
            </w:r>
          </w:p>
        </w:tc>
        <w:tc>
          <w:tcPr>
            <w:tcW w:w="776" w:type="dxa"/>
            <w:vAlign w:val="center"/>
          </w:tcPr>
          <w:p w14:paraId="3B581520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</w:p>
        </w:tc>
      </w:tr>
      <w:tr w:rsidR="00706BEE" w14:paraId="11C38957" w14:textId="77777777" w:rsidTr="00851CA2">
        <w:trPr>
          <w:trHeight w:val="859"/>
        </w:trPr>
        <w:tc>
          <w:tcPr>
            <w:tcW w:w="7225" w:type="dxa"/>
            <w:vAlign w:val="center"/>
          </w:tcPr>
          <w:p w14:paraId="5878A2DE" w14:textId="77777777" w:rsidR="00706BEE" w:rsidRPr="006D1198" w:rsidRDefault="00706BEE" w:rsidP="00851CA2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DecimaWE Rg" w:hAnsi="DecimaWE Rg"/>
                <w:b/>
                <w:sz w:val="20"/>
              </w:rPr>
            </w:pPr>
            <w:r w:rsidRPr="006D1198">
              <w:rPr>
                <w:rFonts w:ascii="DecimaWE Rg" w:hAnsi="DecimaWE Rg"/>
                <w:b/>
                <w:sz w:val="20"/>
              </w:rPr>
              <w:t>L’evento avverso è apparso dopo che il farmaco è stato somministrato?</w:t>
            </w:r>
          </w:p>
        </w:tc>
        <w:tc>
          <w:tcPr>
            <w:tcW w:w="567" w:type="dxa"/>
            <w:vAlign w:val="center"/>
          </w:tcPr>
          <w:p w14:paraId="270D0F1E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  <w:r w:rsidRPr="00CB3E3D">
              <w:rPr>
                <w:rFonts w:ascii="DecimaWE Rg" w:hAnsi="DecimaWE Rg"/>
                <w:sz w:val="22"/>
              </w:rPr>
              <w:t>+2</w:t>
            </w:r>
          </w:p>
        </w:tc>
        <w:tc>
          <w:tcPr>
            <w:tcW w:w="567" w:type="dxa"/>
            <w:vAlign w:val="center"/>
          </w:tcPr>
          <w:p w14:paraId="3B09BE07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  <w:r w:rsidRPr="00CB3E3D">
              <w:rPr>
                <w:rFonts w:ascii="DecimaWE Rg" w:hAnsi="DecimaWE Rg"/>
                <w:sz w:val="22"/>
              </w:rPr>
              <w:t>-1</w:t>
            </w:r>
          </w:p>
        </w:tc>
        <w:tc>
          <w:tcPr>
            <w:tcW w:w="708" w:type="dxa"/>
            <w:vAlign w:val="center"/>
          </w:tcPr>
          <w:p w14:paraId="7FCBDAFF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  <w:r w:rsidRPr="00CB3E3D">
              <w:rPr>
                <w:rFonts w:ascii="DecimaWE Rg" w:hAnsi="DecimaWE Rg"/>
                <w:sz w:val="22"/>
              </w:rPr>
              <w:t>0</w:t>
            </w:r>
          </w:p>
        </w:tc>
        <w:tc>
          <w:tcPr>
            <w:tcW w:w="776" w:type="dxa"/>
            <w:vAlign w:val="center"/>
          </w:tcPr>
          <w:p w14:paraId="4A9D5B47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</w:p>
        </w:tc>
      </w:tr>
      <w:tr w:rsidR="00706BEE" w14:paraId="4AC85D45" w14:textId="77777777" w:rsidTr="00851CA2">
        <w:trPr>
          <w:trHeight w:val="859"/>
        </w:trPr>
        <w:tc>
          <w:tcPr>
            <w:tcW w:w="7225" w:type="dxa"/>
            <w:vAlign w:val="center"/>
          </w:tcPr>
          <w:p w14:paraId="15787A37" w14:textId="77777777" w:rsidR="00706BEE" w:rsidRPr="006D1198" w:rsidRDefault="00706BEE" w:rsidP="00851CA2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DecimaWE Rg" w:hAnsi="DecimaWE Rg"/>
                <w:b/>
                <w:sz w:val="20"/>
              </w:rPr>
            </w:pPr>
            <w:r w:rsidRPr="006D1198">
              <w:rPr>
                <w:rFonts w:ascii="DecimaWE Rg" w:hAnsi="DecimaWE Rg"/>
                <w:b/>
                <w:sz w:val="20"/>
              </w:rPr>
              <w:t>L’evento avverso è migliorato quando il farmaco è stato sospeso?</w:t>
            </w:r>
          </w:p>
        </w:tc>
        <w:tc>
          <w:tcPr>
            <w:tcW w:w="567" w:type="dxa"/>
            <w:vAlign w:val="center"/>
          </w:tcPr>
          <w:p w14:paraId="49F55EE1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  <w:r w:rsidRPr="00CB3E3D">
              <w:rPr>
                <w:rFonts w:ascii="DecimaWE Rg" w:hAnsi="DecimaWE Rg"/>
                <w:sz w:val="22"/>
              </w:rPr>
              <w:t>+1</w:t>
            </w:r>
          </w:p>
        </w:tc>
        <w:tc>
          <w:tcPr>
            <w:tcW w:w="567" w:type="dxa"/>
            <w:vAlign w:val="center"/>
          </w:tcPr>
          <w:p w14:paraId="6545C1D7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  <w:r w:rsidRPr="00CB3E3D">
              <w:rPr>
                <w:rFonts w:ascii="DecimaWE Rg" w:hAnsi="DecimaWE Rg"/>
                <w:sz w:val="22"/>
              </w:rPr>
              <w:t>0</w:t>
            </w:r>
          </w:p>
        </w:tc>
        <w:tc>
          <w:tcPr>
            <w:tcW w:w="708" w:type="dxa"/>
            <w:vAlign w:val="center"/>
          </w:tcPr>
          <w:p w14:paraId="402A48B8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  <w:r w:rsidRPr="00CB3E3D">
              <w:rPr>
                <w:rFonts w:ascii="DecimaWE Rg" w:hAnsi="DecimaWE Rg"/>
                <w:sz w:val="22"/>
              </w:rPr>
              <w:t>0</w:t>
            </w:r>
          </w:p>
        </w:tc>
        <w:tc>
          <w:tcPr>
            <w:tcW w:w="776" w:type="dxa"/>
            <w:vAlign w:val="center"/>
          </w:tcPr>
          <w:p w14:paraId="31349F19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</w:p>
        </w:tc>
      </w:tr>
      <w:tr w:rsidR="00706BEE" w14:paraId="19B218DB" w14:textId="77777777" w:rsidTr="00851CA2">
        <w:trPr>
          <w:trHeight w:val="859"/>
        </w:trPr>
        <w:tc>
          <w:tcPr>
            <w:tcW w:w="7225" w:type="dxa"/>
            <w:vAlign w:val="center"/>
          </w:tcPr>
          <w:p w14:paraId="03AEFC15" w14:textId="77777777" w:rsidR="00706BEE" w:rsidRPr="006D1198" w:rsidRDefault="00706BEE" w:rsidP="00851CA2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DecimaWE Rg" w:hAnsi="DecimaWE Rg"/>
                <w:b/>
                <w:sz w:val="20"/>
              </w:rPr>
            </w:pPr>
            <w:r w:rsidRPr="006D1198">
              <w:rPr>
                <w:rFonts w:ascii="DecimaWE Rg" w:hAnsi="DecimaWE Rg"/>
                <w:b/>
                <w:sz w:val="20"/>
              </w:rPr>
              <w:t>La reazione avversa è ricomparsa quando il farmaco è stato risomministrato?</w:t>
            </w:r>
          </w:p>
        </w:tc>
        <w:tc>
          <w:tcPr>
            <w:tcW w:w="567" w:type="dxa"/>
            <w:vAlign w:val="center"/>
          </w:tcPr>
          <w:p w14:paraId="6B096733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  <w:r w:rsidRPr="00CB3E3D">
              <w:rPr>
                <w:rFonts w:ascii="DecimaWE Rg" w:hAnsi="DecimaWE Rg"/>
                <w:sz w:val="22"/>
              </w:rPr>
              <w:t>+2</w:t>
            </w:r>
          </w:p>
        </w:tc>
        <w:tc>
          <w:tcPr>
            <w:tcW w:w="567" w:type="dxa"/>
            <w:vAlign w:val="center"/>
          </w:tcPr>
          <w:p w14:paraId="62C90ADC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  <w:r w:rsidRPr="00CB3E3D">
              <w:rPr>
                <w:rFonts w:ascii="DecimaWE Rg" w:hAnsi="DecimaWE Rg"/>
                <w:sz w:val="22"/>
              </w:rPr>
              <w:t>-1</w:t>
            </w:r>
          </w:p>
        </w:tc>
        <w:tc>
          <w:tcPr>
            <w:tcW w:w="708" w:type="dxa"/>
            <w:vAlign w:val="center"/>
          </w:tcPr>
          <w:p w14:paraId="55B27329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  <w:r w:rsidRPr="00CB3E3D">
              <w:rPr>
                <w:rFonts w:ascii="DecimaWE Rg" w:hAnsi="DecimaWE Rg"/>
                <w:sz w:val="22"/>
              </w:rPr>
              <w:t>0</w:t>
            </w:r>
          </w:p>
        </w:tc>
        <w:tc>
          <w:tcPr>
            <w:tcW w:w="776" w:type="dxa"/>
            <w:vAlign w:val="center"/>
          </w:tcPr>
          <w:p w14:paraId="39F8D28C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</w:p>
        </w:tc>
      </w:tr>
      <w:tr w:rsidR="00706BEE" w14:paraId="7DD5EBAD" w14:textId="77777777" w:rsidTr="00851CA2">
        <w:trPr>
          <w:trHeight w:val="859"/>
        </w:trPr>
        <w:tc>
          <w:tcPr>
            <w:tcW w:w="7225" w:type="dxa"/>
            <w:vAlign w:val="center"/>
          </w:tcPr>
          <w:p w14:paraId="607054C9" w14:textId="77777777" w:rsidR="00706BEE" w:rsidRPr="006D1198" w:rsidRDefault="00706BEE" w:rsidP="00851CA2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DecimaWE Rg" w:hAnsi="DecimaWE Rg"/>
                <w:b/>
                <w:sz w:val="20"/>
              </w:rPr>
            </w:pPr>
            <w:r w:rsidRPr="006D1198">
              <w:rPr>
                <w:rFonts w:ascii="DecimaWE Rg" w:hAnsi="DecimaWE Rg"/>
                <w:b/>
                <w:sz w:val="20"/>
              </w:rPr>
              <w:t>Sono presenti cause alternative (al farmaco) che possono aver provocato la reazione avversa?</w:t>
            </w:r>
          </w:p>
        </w:tc>
        <w:tc>
          <w:tcPr>
            <w:tcW w:w="567" w:type="dxa"/>
            <w:vAlign w:val="center"/>
          </w:tcPr>
          <w:p w14:paraId="50718AF2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  <w:r w:rsidRPr="00CB3E3D">
              <w:rPr>
                <w:rFonts w:ascii="DecimaWE Rg" w:hAnsi="DecimaWE Rg"/>
                <w:sz w:val="22"/>
              </w:rPr>
              <w:t>-1</w:t>
            </w:r>
          </w:p>
        </w:tc>
        <w:tc>
          <w:tcPr>
            <w:tcW w:w="567" w:type="dxa"/>
            <w:vAlign w:val="center"/>
          </w:tcPr>
          <w:p w14:paraId="2EEC3D48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  <w:r w:rsidRPr="00CB3E3D">
              <w:rPr>
                <w:rFonts w:ascii="DecimaWE Rg" w:hAnsi="DecimaWE Rg"/>
                <w:sz w:val="22"/>
              </w:rPr>
              <w:t>+2</w:t>
            </w:r>
          </w:p>
        </w:tc>
        <w:tc>
          <w:tcPr>
            <w:tcW w:w="708" w:type="dxa"/>
            <w:vAlign w:val="center"/>
          </w:tcPr>
          <w:p w14:paraId="37F7C50E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  <w:r w:rsidRPr="00CB3E3D">
              <w:rPr>
                <w:rFonts w:ascii="DecimaWE Rg" w:hAnsi="DecimaWE Rg"/>
                <w:sz w:val="22"/>
              </w:rPr>
              <w:t>0</w:t>
            </w:r>
          </w:p>
        </w:tc>
        <w:tc>
          <w:tcPr>
            <w:tcW w:w="776" w:type="dxa"/>
            <w:vAlign w:val="center"/>
          </w:tcPr>
          <w:p w14:paraId="374F7205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</w:p>
        </w:tc>
      </w:tr>
      <w:tr w:rsidR="00706BEE" w14:paraId="524B60F6" w14:textId="77777777" w:rsidTr="00851CA2">
        <w:trPr>
          <w:trHeight w:val="859"/>
        </w:trPr>
        <w:tc>
          <w:tcPr>
            <w:tcW w:w="7225" w:type="dxa"/>
            <w:vAlign w:val="center"/>
          </w:tcPr>
          <w:p w14:paraId="12BF3F17" w14:textId="77777777" w:rsidR="00706BEE" w:rsidRPr="006D1198" w:rsidRDefault="00706BEE" w:rsidP="00851CA2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DecimaWE Rg" w:hAnsi="DecimaWE Rg"/>
                <w:b/>
                <w:sz w:val="20"/>
              </w:rPr>
            </w:pPr>
            <w:r w:rsidRPr="006D1198">
              <w:rPr>
                <w:rFonts w:ascii="DecimaWE Rg" w:hAnsi="DecimaWE Rg"/>
                <w:b/>
                <w:sz w:val="20"/>
              </w:rPr>
              <w:t>La reazione avversa è comparsa quando è stato somministrato il placebo?</w:t>
            </w:r>
          </w:p>
        </w:tc>
        <w:tc>
          <w:tcPr>
            <w:tcW w:w="567" w:type="dxa"/>
            <w:vAlign w:val="center"/>
          </w:tcPr>
          <w:p w14:paraId="4DE416EB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  <w:r w:rsidRPr="00CB3E3D">
              <w:rPr>
                <w:rFonts w:ascii="DecimaWE Rg" w:hAnsi="DecimaWE Rg"/>
                <w:sz w:val="22"/>
              </w:rPr>
              <w:t>-1</w:t>
            </w:r>
          </w:p>
        </w:tc>
        <w:tc>
          <w:tcPr>
            <w:tcW w:w="567" w:type="dxa"/>
            <w:vAlign w:val="center"/>
          </w:tcPr>
          <w:p w14:paraId="42500CBD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  <w:r w:rsidRPr="00CB3E3D">
              <w:rPr>
                <w:rFonts w:ascii="DecimaWE Rg" w:hAnsi="DecimaWE Rg"/>
                <w:sz w:val="22"/>
              </w:rPr>
              <w:t>+1</w:t>
            </w:r>
          </w:p>
        </w:tc>
        <w:tc>
          <w:tcPr>
            <w:tcW w:w="708" w:type="dxa"/>
            <w:vAlign w:val="center"/>
          </w:tcPr>
          <w:p w14:paraId="1405808F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  <w:r w:rsidRPr="00CB3E3D">
              <w:rPr>
                <w:rFonts w:ascii="DecimaWE Rg" w:hAnsi="DecimaWE Rg"/>
                <w:sz w:val="22"/>
              </w:rPr>
              <w:t>0</w:t>
            </w:r>
          </w:p>
        </w:tc>
        <w:tc>
          <w:tcPr>
            <w:tcW w:w="776" w:type="dxa"/>
            <w:vAlign w:val="center"/>
          </w:tcPr>
          <w:p w14:paraId="3221B5E2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</w:p>
        </w:tc>
      </w:tr>
      <w:tr w:rsidR="00706BEE" w14:paraId="0EBA765C" w14:textId="77777777" w:rsidTr="00851CA2">
        <w:trPr>
          <w:trHeight w:val="859"/>
        </w:trPr>
        <w:tc>
          <w:tcPr>
            <w:tcW w:w="7225" w:type="dxa"/>
            <w:vAlign w:val="center"/>
          </w:tcPr>
          <w:p w14:paraId="30D3B09C" w14:textId="77777777" w:rsidR="00706BEE" w:rsidRPr="006D1198" w:rsidRDefault="00706BEE" w:rsidP="00851CA2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DecimaWE Rg" w:hAnsi="DecimaWE Rg"/>
                <w:b/>
                <w:sz w:val="20"/>
              </w:rPr>
            </w:pPr>
            <w:r w:rsidRPr="006D1198">
              <w:rPr>
                <w:rFonts w:ascii="DecimaWE Rg" w:hAnsi="DecimaWE Rg"/>
                <w:b/>
                <w:sz w:val="20"/>
              </w:rPr>
              <w:t>E’ stato trovato il farmaco nel sangue (o in altri fluidi) in concentrazioni tossiche?</w:t>
            </w:r>
          </w:p>
        </w:tc>
        <w:tc>
          <w:tcPr>
            <w:tcW w:w="567" w:type="dxa"/>
            <w:vAlign w:val="center"/>
          </w:tcPr>
          <w:p w14:paraId="442B1216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  <w:r w:rsidRPr="00CB3E3D">
              <w:rPr>
                <w:rFonts w:ascii="DecimaWE Rg" w:hAnsi="DecimaWE Rg"/>
                <w:sz w:val="22"/>
              </w:rPr>
              <w:t>+1</w:t>
            </w:r>
          </w:p>
        </w:tc>
        <w:tc>
          <w:tcPr>
            <w:tcW w:w="567" w:type="dxa"/>
            <w:vAlign w:val="center"/>
          </w:tcPr>
          <w:p w14:paraId="43619F6C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  <w:r w:rsidRPr="00CB3E3D">
              <w:rPr>
                <w:rFonts w:ascii="DecimaWE Rg" w:hAnsi="DecimaWE Rg"/>
                <w:sz w:val="22"/>
              </w:rPr>
              <w:t>0</w:t>
            </w:r>
          </w:p>
        </w:tc>
        <w:tc>
          <w:tcPr>
            <w:tcW w:w="708" w:type="dxa"/>
            <w:vAlign w:val="center"/>
          </w:tcPr>
          <w:p w14:paraId="132DCC60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  <w:r w:rsidRPr="00CB3E3D">
              <w:rPr>
                <w:rFonts w:ascii="DecimaWE Rg" w:hAnsi="DecimaWE Rg"/>
                <w:sz w:val="22"/>
              </w:rPr>
              <w:t>0</w:t>
            </w:r>
          </w:p>
        </w:tc>
        <w:tc>
          <w:tcPr>
            <w:tcW w:w="776" w:type="dxa"/>
            <w:vAlign w:val="center"/>
          </w:tcPr>
          <w:p w14:paraId="5F06460E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</w:p>
        </w:tc>
      </w:tr>
      <w:tr w:rsidR="00706BEE" w14:paraId="4316BB91" w14:textId="77777777" w:rsidTr="00851CA2">
        <w:trPr>
          <w:trHeight w:val="859"/>
        </w:trPr>
        <w:tc>
          <w:tcPr>
            <w:tcW w:w="7225" w:type="dxa"/>
            <w:vAlign w:val="center"/>
          </w:tcPr>
          <w:p w14:paraId="225B50C9" w14:textId="77777777" w:rsidR="00706BEE" w:rsidRPr="006D1198" w:rsidRDefault="00706BEE" w:rsidP="00851CA2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DecimaWE Rg" w:hAnsi="DecimaWE Rg"/>
                <w:b/>
                <w:sz w:val="20"/>
              </w:rPr>
            </w:pPr>
            <w:r w:rsidRPr="006D1198">
              <w:rPr>
                <w:rFonts w:ascii="DecimaWE Rg" w:hAnsi="DecimaWE Rg"/>
                <w:b/>
                <w:sz w:val="20"/>
              </w:rPr>
              <w:t>La reazione è stata più grave con l’incremento della dose e meno grave con la sua diminuzione?</w:t>
            </w:r>
          </w:p>
        </w:tc>
        <w:tc>
          <w:tcPr>
            <w:tcW w:w="567" w:type="dxa"/>
            <w:vAlign w:val="center"/>
          </w:tcPr>
          <w:p w14:paraId="2436ECB0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  <w:r w:rsidRPr="00CB3E3D">
              <w:rPr>
                <w:rFonts w:ascii="DecimaWE Rg" w:hAnsi="DecimaWE Rg"/>
                <w:sz w:val="22"/>
              </w:rPr>
              <w:t>+1</w:t>
            </w:r>
          </w:p>
        </w:tc>
        <w:tc>
          <w:tcPr>
            <w:tcW w:w="567" w:type="dxa"/>
            <w:vAlign w:val="center"/>
          </w:tcPr>
          <w:p w14:paraId="6A22E238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  <w:r w:rsidRPr="00CB3E3D">
              <w:rPr>
                <w:rFonts w:ascii="DecimaWE Rg" w:hAnsi="DecimaWE Rg"/>
                <w:sz w:val="22"/>
              </w:rPr>
              <w:t>0</w:t>
            </w:r>
          </w:p>
        </w:tc>
        <w:tc>
          <w:tcPr>
            <w:tcW w:w="708" w:type="dxa"/>
            <w:vAlign w:val="center"/>
          </w:tcPr>
          <w:p w14:paraId="574D66B8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  <w:r w:rsidRPr="00CB3E3D">
              <w:rPr>
                <w:rFonts w:ascii="DecimaWE Rg" w:hAnsi="DecimaWE Rg"/>
                <w:sz w:val="22"/>
              </w:rPr>
              <w:t>0</w:t>
            </w:r>
          </w:p>
        </w:tc>
        <w:tc>
          <w:tcPr>
            <w:tcW w:w="776" w:type="dxa"/>
            <w:vAlign w:val="center"/>
          </w:tcPr>
          <w:p w14:paraId="4F6A7BA8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</w:p>
        </w:tc>
      </w:tr>
      <w:tr w:rsidR="00706BEE" w14:paraId="67D406C2" w14:textId="77777777" w:rsidTr="00851CA2">
        <w:trPr>
          <w:trHeight w:val="859"/>
        </w:trPr>
        <w:tc>
          <w:tcPr>
            <w:tcW w:w="7225" w:type="dxa"/>
            <w:vAlign w:val="center"/>
          </w:tcPr>
          <w:p w14:paraId="5A2673DB" w14:textId="77777777" w:rsidR="00706BEE" w:rsidRPr="006D1198" w:rsidRDefault="00706BEE" w:rsidP="00851CA2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DecimaWE Rg" w:hAnsi="DecimaWE Rg"/>
                <w:b/>
                <w:sz w:val="20"/>
              </w:rPr>
            </w:pPr>
            <w:r w:rsidRPr="006D1198">
              <w:rPr>
                <w:rFonts w:ascii="DecimaWE Rg" w:hAnsi="DecimaWE Rg"/>
                <w:b/>
                <w:sz w:val="20"/>
              </w:rPr>
              <w:t>Il paziente ha avuto una reazione simile in passato con lo stesso farmaco o con farmaci simili?</w:t>
            </w:r>
          </w:p>
        </w:tc>
        <w:tc>
          <w:tcPr>
            <w:tcW w:w="567" w:type="dxa"/>
            <w:vAlign w:val="center"/>
          </w:tcPr>
          <w:p w14:paraId="10376BA8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  <w:r w:rsidRPr="00CB3E3D">
              <w:rPr>
                <w:rFonts w:ascii="DecimaWE Rg" w:hAnsi="DecimaWE Rg"/>
                <w:sz w:val="22"/>
              </w:rPr>
              <w:t>+1</w:t>
            </w:r>
          </w:p>
        </w:tc>
        <w:tc>
          <w:tcPr>
            <w:tcW w:w="567" w:type="dxa"/>
            <w:vAlign w:val="center"/>
          </w:tcPr>
          <w:p w14:paraId="3929D05E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  <w:r w:rsidRPr="00CB3E3D">
              <w:rPr>
                <w:rFonts w:ascii="DecimaWE Rg" w:hAnsi="DecimaWE Rg"/>
                <w:sz w:val="22"/>
              </w:rPr>
              <w:t>0</w:t>
            </w:r>
          </w:p>
        </w:tc>
        <w:tc>
          <w:tcPr>
            <w:tcW w:w="708" w:type="dxa"/>
            <w:vAlign w:val="center"/>
          </w:tcPr>
          <w:p w14:paraId="142B72CE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  <w:r w:rsidRPr="00CB3E3D">
              <w:rPr>
                <w:rFonts w:ascii="DecimaWE Rg" w:hAnsi="DecimaWE Rg"/>
                <w:sz w:val="22"/>
              </w:rPr>
              <w:t>0</w:t>
            </w:r>
          </w:p>
        </w:tc>
        <w:tc>
          <w:tcPr>
            <w:tcW w:w="776" w:type="dxa"/>
            <w:vAlign w:val="center"/>
          </w:tcPr>
          <w:p w14:paraId="61DFF557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</w:p>
        </w:tc>
      </w:tr>
      <w:tr w:rsidR="00706BEE" w14:paraId="337D9E11" w14:textId="77777777" w:rsidTr="00851CA2">
        <w:trPr>
          <w:trHeight w:val="859"/>
        </w:trPr>
        <w:tc>
          <w:tcPr>
            <w:tcW w:w="7225" w:type="dxa"/>
            <w:vAlign w:val="center"/>
          </w:tcPr>
          <w:p w14:paraId="4C143FDB" w14:textId="77777777" w:rsidR="00706BEE" w:rsidRPr="006D1198" w:rsidRDefault="00706BEE" w:rsidP="00851CA2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DecimaWE Rg" w:hAnsi="DecimaWE Rg"/>
                <w:b/>
                <w:sz w:val="20"/>
              </w:rPr>
            </w:pPr>
            <w:r w:rsidRPr="006D1198">
              <w:rPr>
                <w:rFonts w:ascii="DecimaWE Rg" w:hAnsi="DecimaWE Rg"/>
                <w:b/>
                <w:sz w:val="20"/>
              </w:rPr>
              <w:t>La reazione avversa è stata confermata da dati oggettivi?</w:t>
            </w:r>
          </w:p>
        </w:tc>
        <w:tc>
          <w:tcPr>
            <w:tcW w:w="567" w:type="dxa"/>
            <w:vAlign w:val="center"/>
          </w:tcPr>
          <w:p w14:paraId="3FE2864E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  <w:r w:rsidRPr="00CB3E3D">
              <w:rPr>
                <w:rFonts w:ascii="DecimaWE Rg" w:hAnsi="DecimaWE Rg"/>
                <w:sz w:val="22"/>
              </w:rPr>
              <w:t>+1</w:t>
            </w:r>
          </w:p>
        </w:tc>
        <w:tc>
          <w:tcPr>
            <w:tcW w:w="567" w:type="dxa"/>
            <w:vAlign w:val="center"/>
          </w:tcPr>
          <w:p w14:paraId="70473EB1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  <w:r w:rsidRPr="00CB3E3D">
              <w:rPr>
                <w:rFonts w:ascii="DecimaWE Rg" w:hAnsi="DecimaWE Rg"/>
                <w:sz w:val="22"/>
              </w:rPr>
              <w:t>0</w:t>
            </w:r>
          </w:p>
        </w:tc>
        <w:tc>
          <w:tcPr>
            <w:tcW w:w="708" w:type="dxa"/>
            <w:vAlign w:val="center"/>
          </w:tcPr>
          <w:p w14:paraId="783CFCC4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  <w:r w:rsidRPr="00CB3E3D">
              <w:rPr>
                <w:rFonts w:ascii="DecimaWE Rg" w:hAnsi="DecimaWE Rg"/>
                <w:sz w:val="22"/>
              </w:rPr>
              <w:t>0</w:t>
            </w:r>
          </w:p>
        </w:tc>
        <w:tc>
          <w:tcPr>
            <w:tcW w:w="776" w:type="dxa"/>
            <w:vAlign w:val="center"/>
          </w:tcPr>
          <w:p w14:paraId="56B9DDC4" w14:textId="77777777" w:rsidR="00706BEE" w:rsidRPr="00CB3E3D" w:rsidRDefault="00706BEE" w:rsidP="00851CA2">
            <w:pPr>
              <w:jc w:val="center"/>
              <w:rPr>
                <w:rFonts w:ascii="DecimaWE Rg" w:hAnsi="DecimaWE Rg"/>
                <w:sz w:val="22"/>
              </w:rPr>
            </w:pPr>
          </w:p>
        </w:tc>
      </w:tr>
    </w:tbl>
    <w:p w14:paraId="7525C14C" w14:textId="77777777" w:rsidR="00706BEE" w:rsidRDefault="00706BEE" w:rsidP="00706BEE"/>
    <w:p w14:paraId="4475799E" w14:textId="77777777" w:rsidR="00706BEE" w:rsidRDefault="00706BEE" w:rsidP="00706BEE"/>
    <w:p w14:paraId="69C789B9" w14:textId="77777777" w:rsidR="00706BEE" w:rsidRPr="00A23AA4" w:rsidRDefault="00706BEE" w:rsidP="00706BEE">
      <w:pPr>
        <w:rPr>
          <w:b/>
        </w:rPr>
      </w:pPr>
    </w:p>
    <w:p w14:paraId="26FB6A8E" w14:textId="77777777" w:rsidR="00706BEE" w:rsidRPr="00A23AA4" w:rsidRDefault="00706BEE" w:rsidP="00706BEE">
      <w:pPr>
        <w:jc w:val="center"/>
        <w:rPr>
          <w:rFonts w:ascii="DecimaWE Rg" w:hAnsi="DecimaWE Rg" w:cs="Calibri"/>
          <w:b/>
          <w:i/>
          <w:sz w:val="20"/>
        </w:rPr>
      </w:pPr>
      <w:r w:rsidRPr="00A23AA4">
        <w:rPr>
          <w:rFonts w:ascii="DecimaWE Rg" w:hAnsi="DecimaWE Rg"/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F437B1" wp14:editId="5D0960E8">
                <wp:simplePos x="0" y="0"/>
                <wp:positionH relativeFrom="margin">
                  <wp:posOffset>1784571</wp:posOffset>
                </wp:positionH>
                <wp:positionV relativeFrom="paragraph">
                  <wp:posOffset>7868</wp:posOffset>
                </wp:positionV>
                <wp:extent cx="2583677" cy="954157"/>
                <wp:effectExtent l="0" t="0" r="26670" b="1778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677" cy="9541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5511AA" id="Rettangolo 1" o:spid="_x0000_s1026" style="position:absolute;margin-left:140.5pt;margin-top:.6pt;width:203.45pt;height:75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" filled="f" strokecolor="red" strokeweight="1.5pt">
                <w10:wrap anchorx="margin"/>
              </v:rect>
            </w:pict>
          </mc:Fallback>
        </mc:AlternateContent>
      </w:r>
      <w:r w:rsidRPr="00A23AA4">
        <w:rPr>
          <w:rFonts w:ascii="DecimaWE Rg" w:hAnsi="DecimaWE Rg" w:cs="Calibri"/>
          <w:b/>
          <w:i/>
          <w:sz w:val="20"/>
        </w:rPr>
        <w:t>Interpretazione dei punteggi per l’associazione:</w:t>
      </w:r>
    </w:p>
    <w:p w14:paraId="16339617" w14:textId="77777777" w:rsidR="00706BEE" w:rsidRPr="00A23AA4" w:rsidRDefault="00706BEE" w:rsidP="00706BEE">
      <w:pPr>
        <w:jc w:val="center"/>
        <w:rPr>
          <w:rFonts w:ascii="DecimaWE Rg" w:hAnsi="DecimaWE Rg" w:cs="Calibri"/>
          <w:b/>
          <w:i/>
          <w:sz w:val="20"/>
        </w:rPr>
      </w:pPr>
    </w:p>
    <w:p w14:paraId="5411B54A" w14:textId="77777777" w:rsidR="00706BEE" w:rsidRPr="00A23AA4" w:rsidRDefault="00706BEE" w:rsidP="00706BEE">
      <w:pPr>
        <w:jc w:val="center"/>
        <w:rPr>
          <w:rFonts w:ascii="DecimaWE Rg" w:hAnsi="DecimaWE Rg" w:cs="Calibri"/>
          <w:b/>
          <w:i/>
          <w:sz w:val="20"/>
        </w:rPr>
      </w:pPr>
      <w:r w:rsidRPr="00A23AA4">
        <w:rPr>
          <w:rFonts w:ascii="DecimaWE Rg" w:hAnsi="DecimaWE Rg" w:cs="Calibri"/>
          <w:b/>
          <w:i/>
          <w:sz w:val="20"/>
        </w:rPr>
        <w:t>Dubbia ≤ 0</w:t>
      </w:r>
    </w:p>
    <w:p w14:paraId="4664B5EB" w14:textId="77777777" w:rsidR="00706BEE" w:rsidRPr="00A23AA4" w:rsidRDefault="00706BEE" w:rsidP="00706BEE">
      <w:pPr>
        <w:jc w:val="center"/>
        <w:rPr>
          <w:rFonts w:ascii="DecimaWE Rg" w:hAnsi="DecimaWE Rg" w:cs="Calibri"/>
          <w:b/>
          <w:i/>
          <w:sz w:val="20"/>
        </w:rPr>
      </w:pPr>
      <w:r w:rsidRPr="00A23AA4">
        <w:rPr>
          <w:rFonts w:ascii="DecimaWE Rg" w:hAnsi="DecimaWE Rg" w:cs="Calibri"/>
          <w:b/>
          <w:i/>
          <w:sz w:val="20"/>
        </w:rPr>
        <w:t>Possibile 1-4</w:t>
      </w:r>
    </w:p>
    <w:p w14:paraId="20A3D0A4" w14:textId="77777777" w:rsidR="00706BEE" w:rsidRPr="00A23AA4" w:rsidRDefault="00706BEE" w:rsidP="00706BEE">
      <w:pPr>
        <w:jc w:val="center"/>
        <w:rPr>
          <w:rFonts w:ascii="DecimaWE Rg" w:hAnsi="DecimaWE Rg" w:cs="Calibri"/>
          <w:b/>
          <w:i/>
          <w:sz w:val="20"/>
        </w:rPr>
      </w:pPr>
      <w:r w:rsidRPr="00A23AA4">
        <w:rPr>
          <w:rFonts w:ascii="DecimaWE Rg" w:hAnsi="DecimaWE Rg" w:cs="Calibri"/>
          <w:b/>
          <w:i/>
          <w:sz w:val="20"/>
        </w:rPr>
        <w:t>Probabile 5-8</w:t>
      </w:r>
    </w:p>
    <w:p w14:paraId="4787D601" w14:textId="77777777" w:rsidR="00706BEE" w:rsidRPr="00A23AA4" w:rsidRDefault="00706BEE" w:rsidP="00706BEE">
      <w:pPr>
        <w:jc w:val="center"/>
        <w:rPr>
          <w:rFonts w:ascii="DecimaWE Rg" w:hAnsi="DecimaWE Rg" w:cs="Calibri"/>
          <w:b/>
          <w:i/>
          <w:sz w:val="20"/>
        </w:rPr>
      </w:pPr>
      <w:r w:rsidRPr="00A23AA4">
        <w:rPr>
          <w:rFonts w:ascii="DecimaWE Rg" w:hAnsi="DecimaWE Rg" w:cs="Calibri"/>
          <w:b/>
          <w:i/>
          <w:sz w:val="20"/>
        </w:rPr>
        <w:t>Certa ≥ 9</w:t>
      </w:r>
    </w:p>
    <w:p w14:paraId="7AD9F265" w14:textId="7A13D2DA" w:rsidR="00A56EB0" w:rsidRDefault="00A56EB0" w:rsidP="00D1684C"/>
    <w:p w14:paraId="5706EF27" w14:textId="77777777" w:rsidR="00A71D2C" w:rsidRPr="00881DC6" w:rsidRDefault="00A71D2C" w:rsidP="00A71D2C">
      <w:pPr>
        <w:jc w:val="center"/>
        <w:rPr>
          <w:rFonts w:ascii="DecimaWE Rg" w:hAnsi="DecimaWE Rg"/>
          <w:b/>
        </w:rPr>
      </w:pPr>
      <w:r w:rsidRPr="00881DC6">
        <w:rPr>
          <w:rFonts w:ascii="DecimaWE Rg" w:hAnsi="DecimaWE Rg"/>
          <w:b/>
        </w:rPr>
        <w:t>CASI CLINICI</w:t>
      </w:r>
      <w:r>
        <w:rPr>
          <w:rFonts w:ascii="DecimaWE Rg" w:hAnsi="DecimaWE Rg"/>
          <w:b/>
        </w:rPr>
        <w:t xml:space="preserve"> FARMACOVIGILANZA</w:t>
      </w:r>
    </w:p>
    <w:p w14:paraId="401190EC" w14:textId="77777777" w:rsidR="00A71D2C" w:rsidRDefault="00A71D2C" w:rsidP="00A71D2C">
      <w:pPr>
        <w:jc w:val="center"/>
      </w:pPr>
    </w:p>
    <w:p w14:paraId="7CF17AD5" w14:textId="77777777" w:rsidR="00A71D2C" w:rsidRPr="007A0DB9" w:rsidRDefault="00A71D2C" w:rsidP="00A71D2C">
      <w:pPr>
        <w:jc w:val="both"/>
        <w:rPr>
          <w:rFonts w:ascii="DecimaWE Rg" w:hAnsi="DecimaWE Rg" w:cs="Calibri"/>
          <w:b/>
          <w:color w:val="385623" w:themeColor="accent6" w:themeShade="80"/>
          <w:sz w:val="22"/>
          <w:u w:val="single"/>
        </w:rPr>
      </w:pPr>
      <w:r w:rsidRPr="007A0DB9">
        <w:rPr>
          <w:rFonts w:ascii="DecimaWE Rg" w:hAnsi="DecimaWE Rg" w:cs="Calibri"/>
          <w:b/>
          <w:sz w:val="22"/>
          <w:u w:val="single"/>
        </w:rPr>
        <w:t>Caso A</w:t>
      </w:r>
    </w:p>
    <w:p w14:paraId="57023A0F" w14:textId="77777777" w:rsidR="00A71D2C" w:rsidRPr="007A0DB9" w:rsidRDefault="00A71D2C" w:rsidP="00A71D2C">
      <w:pPr>
        <w:jc w:val="both"/>
        <w:rPr>
          <w:rFonts w:ascii="DecimaWE Rg" w:hAnsi="DecimaWE Rg" w:cs="Calibri"/>
          <w:sz w:val="22"/>
        </w:rPr>
      </w:pPr>
      <w:r w:rsidRPr="007A0DB9">
        <w:rPr>
          <w:rFonts w:ascii="DecimaWE Rg" w:hAnsi="DecimaWE Rg" w:cs="Calibri"/>
          <w:sz w:val="22"/>
        </w:rPr>
        <w:t>Un uomo di 7</w:t>
      </w:r>
      <w:r>
        <w:rPr>
          <w:rFonts w:ascii="DecimaWE Rg" w:hAnsi="DecimaWE Rg" w:cs="Calibri"/>
          <w:sz w:val="22"/>
        </w:rPr>
        <w:t>7</w:t>
      </w:r>
      <w:r w:rsidRPr="007A0DB9">
        <w:rPr>
          <w:rFonts w:ascii="DecimaWE Rg" w:hAnsi="DecimaWE Rg" w:cs="Calibri"/>
          <w:sz w:val="22"/>
        </w:rPr>
        <w:t xml:space="preserve"> anni (05/01/1948), L.I., dopo aver cambiato più volte terapia con biologici</w:t>
      </w:r>
      <w:r>
        <w:rPr>
          <w:rFonts w:ascii="DecimaWE Rg" w:hAnsi="DecimaWE Rg" w:cs="Calibri"/>
          <w:sz w:val="22"/>
        </w:rPr>
        <w:t xml:space="preserve"> causa fallimenti terapeutici</w:t>
      </w:r>
      <w:r w:rsidRPr="007A0DB9">
        <w:rPr>
          <w:rFonts w:ascii="DecimaWE Rg" w:hAnsi="DecimaWE Rg" w:cs="Calibri"/>
          <w:sz w:val="22"/>
        </w:rPr>
        <w:t xml:space="preserve">, ha dai primi di gennaio iniziato ad assumere </w:t>
      </w:r>
      <w:proofErr w:type="spellStart"/>
      <w:r w:rsidRPr="007A0DB9">
        <w:rPr>
          <w:rFonts w:ascii="DecimaWE Rg" w:hAnsi="DecimaWE Rg" w:cs="Calibri"/>
          <w:sz w:val="22"/>
        </w:rPr>
        <w:t>adalimumab</w:t>
      </w:r>
      <w:proofErr w:type="spellEnd"/>
      <w:r w:rsidRPr="007A0DB9">
        <w:rPr>
          <w:rFonts w:ascii="DecimaWE Rg" w:hAnsi="DecimaWE Rg" w:cs="Calibri"/>
          <w:sz w:val="22"/>
        </w:rPr>
        <w:t xml:space="preserve"> (40 mg a settimane alterne).</w:t>
      </w:r>
    </w:p>
    <w:p w14:paraId="0B7A34E2" w14:textId="77777777" w:rsidR="00A71D2C" w:rsidRPr="007A0DB9" w:rsidRDefault="00A71D2C" w:rsidP="00A71D2C">
      <w:pPr>
        <w:jc w:val="both"/>
        <w:rPr>
          <w:rFonts w:ascii="DecimaWE Rg" w:hAnsi="DecimaWE Rg" w:cs="Calibri"/>
          <w:sz w:val="22"/>
        </w:rPr>
      </w:pPr>
      <w:r w:rsidRPr="007A0DB9">
        <w:rPr>
          <w:rFonts w:ascii="DecimaWE Rg" w:hAnsi="DecimaWE Rg" w:cs="Calibri"/>
          <w:sz w:val="22"/>
        </w:rPr>
        <w:t>Al controllo semestrale (14/06/2024), dopo aver assunto la dose prescritta, riferisce al dermatologo che, dopo i primi mesi in cui la malattia stava migliorando, da maggio ha registrato un peggioramento, caratterizzato da una riacutizzazione delle lesioni, prurito e comparsa di nuove placche a livello del gomito e della zona sacrale.</w:t>
      </w:r>
    </w:p>
    <w:p w14:paraId="6A4B7700" w14:textId="77777777" w:rsidR="00A71D2C" w:rsidRPr="007A0DB9" w:rsidRDefault="00A71D2C" w:rsidP="00A71D2C">
      <w:pPr>
        <w:jc w:val="both"/>
        <w:rPr>
          <w:rFonts w:ascii="DecimaWE Rg" w:hAnsi="DecimaWE Rg" w:cs="Calibri"/>
          <w:sz w:val="22"/>
        </w:rPr>
      </w:pPr>
      <w:r w:rsidRPr="007A0DB9">
        <w:rPr>
          <w:rFonts w:ascii="DecimaWE Rg" w:hAnsi="DecimaWE Rg" w:cs="Calibri"/>
          <w:sz w:val="22"/>
        </w:rPr>
        <w:t xml:space="preserve">In cartella clinica presenti: Ipertensione, psoriasi, intervento chirurgia sostitutiva del ginocchio nell’aprile 2019. </w:t>
      </w:r>
    </w:p>
    <w:p w14:paraId="6C211DFA" w14:textId="77777777" w:rsidR="00A71D2C" w:rsidRPr="007A0DB9" w:rsidRDefault="00A71D2C" w:rsidP="00A71D2C">
      <w:pPr>
        <w:jc w:val="both"/>
        <w:rPr>
          <w:rFonts w:ascii="DecimaWE Rg" w:hAnsi="DecimaWE Rg" w:cs="Calibri"/>
          <w:sz w:val="22"/>
        </w:rPr>
      </w:pPr>
      <w:r w:rsidRPr="007A0DB9">
        <w:rPr>
          <w:rFonts w:ascii="DecimaWE Rg" w:hAnsi="DecimaWE Rg" w:cs="Calibri"/>
          <w:sz w:val="22"/>
        </w:rPr>
        <w:t xml:space="preserve">Il dermatologo decide di effettuare uno </w:t>
      </w:r>
      <w:proofErr w:type="spellStart"/>
      <w:r w:rsidRPr="00EA5DD9">
        <w:rPr>
          <w:rFonts w:ascii="DecimaWE Rg" w:hAnsi="DecimaWE Rg" w:cs="Calibri"/>
          <w:i/>
          <w:sz w:val="22"/>
        </w:rPr>
        <w:t>switch</w:t>
      </w:r>
      <w:proofErr w:type="spellEnd"/>
      <w:r w:rsidRPr="007A0DB9">
        <w:rPr>
          <w:rFonts w:ascii="DecimaWE Rg" w:hAnsi="DecimaWE Rg" w:cs="Calibri"/>
          <w:sz w:val="22"/>
        </w:rPr>
        <w:t xml:space="preserve"> di terapia.</w:t>
      </w:r>
    </w:p>
    <w:p w14:paraId="4D87FE00" w14:textId="77777777" w:rsidR="00A71D2C" w:rsidRPr="007A0DB9" w:rsidRDefault="00A71D2C" w:rsidP="00A71D2C">
      <w:pPr>
        <w:jc w:val="both"/>
        <w:rPr>
          <w:rFonts w:ascii="DecimaWE Rg" w:hAnsi="DecimaWE Rg" w:cs="Calibri"/>
          <w:sz w:val="22"/>
        </w:rPr>
      </w:pPr>
    </w:p>
    <w:p w14:paraId="75281B57" w14:textId="77777777" w:rsidR="00A71D2C" w:rsidRPr="007A0DB9" w:rsidRDefault="00A71D2C" w:rsidP="00A71D2C">
      <w:pPr>
        <w:jc w:val="both"/>
        <w:rPr>
          <w:rFonts w:ascii="DecimaWE Rg" w:hAnsi="DecimaWE Rg" w:cs="Calibri"/>
          <w:b/>
          <w:sz w:val="22"/>
          <w:u w:val="single"/>
        </w:rPr>
      </w:pPr>
      <w:r w:rsidRPr="007A0DB9">
        <w:rPr>
          <w:rFonts w:ascii="DecimaWE Rg" w:hAnsi="DecimaWE Rg" w:cs="Calibri"/>
          <w:b/>
          <w:sz w:val="22"/>
          <w:u w:val="single"/>
        </w:rPr>
        <w:t>Caso B</w:t>
      </w:r>
    </w:p>
    <w:p w14:paraId="1EADD48A" w14:textId="77777777" w:rsidR="00A71D2C" w:rsidRPr="007A0DB9" w:rsidRDefault="00A71D2C" w:rsidP="00A71D2C">
      <w:pPr>
        <w:jc w:val="both"/>
        <w:rPr>
          <w:rFonts w:ascii="DecimaWE Rg" w:hAnsi="DecimaWE Rg" w:cs="Calibri"/>
          <w:sz w:val="22"/>
        </w:rPr>
      </w:pPr>
      <w:r w:rsidRPr="007A0DB9">
        <w:rPr>
          <w:rFonts w:ascii="DecimaWE Rg" w:hAnsi="DecimaWE Rg" w:cs="Calibri"/>
          <w:sz w:val="22"/>
        </w:rPr>
        <w:t>Una ginecologa del Burlo viene chiamata per un consulto al seguito del quale decide di compilare una segnalazione di farmacovigilanza.</w:t>
      </w:r>
    </w:p>
    <w:p w14:paraId="0DBF7665" w14:textId="77777777" w:rsidR="00A71D2C" w:rsidRPr="007A0DB9" w:rsidRDefault="00A71D2C" w:rsidP="00A71D2C">
      <w:pPr>
        <w:jc w:val="both"/>
        <w:rPr>
          <w:rFonts w:ascii="DecimaWE Rg" w:hAnsi="DecimaWE Rg" w:cs="Calibri"/>
          <w:sz w:val="22"/>
        </w:rPr>
      </w:pPr>
      <w:r w:rsidRPr="007A0DB9">
        <w:rPr>
          <w:rFonts w:ascii="DecimaWE Rg" w:hAnsi="DecimaWE Rg" w:cs="Calibri"/>
          <w:sz w:val="22"/>
        </w:rPr>
        <w:t>A.B., fumatrice e tossicodipendente (eroina) in terapia con metadone, partorisce a 34+4 settimane con cesareo in data 04/08/2023.</w:t>
      </w:r>
    </w:p>
    <w:p w14:paraId="052DC661" w14:textId="77777777" w:rsidR="00A71D2C" w:rsidRPr="007A0DB9" w:rsidRDefault="00A71D2C" w:rsidP="00A71D2C">
      <w:pPr>
        <w:jc w:val="both"/>
        <w:rPr>
          <w:rFonts w:ascii="DecimaWE Rg" w:hAnsi="DecimaWE Rg" w:cs="Calibri"/>
          <w:sz w:val="22"/>
        </w:rPr>
      </w:pPr>
      <w:r w:rsidRPr="007A0DB9">
        <w:rPr>
          <w:rFonts w:ascii="DecimaWE Rg" w:hAnsi="DecimaWE Rg" w:cs="Calibri"/>
          <w:sz w:val="22"/>
        </w:rPr>
        <w:t>Il neonato, C</w:t>
      </w:r>
      <w:r>
        <w:rPr>
          <w:rFonts w:ascii="DecimaWE Rg" w:hAnsi="DecimaWE Rg" w:cs="Calibri"/>
          <w:sz w:val="22"/>
        </w:rPr>
        <w:t>.</w:t>
      </w:r>
      <w:r w:rsidRPr="007A0DB9">
        <w:rPr>
          <w:rFonts w:ascii="DecimaWE Rg" w:hAnsi="DecimaWE Rg" w:cs="Calibri"/>
          <w:sz w:val="22"/>
        </w:rPr>
        <w:t>D</w:t>
      </w:r>
      <w:r>
        <w:rPr>
          <w:rFonts w:ascii="DecimaWE Rg" w:hAnsi="DecimaWE Rg" w:cs="Calibri"/>
          <w:sz w:val="22"/>
        </w:rPr>
        <w:t>.</w:t>
      </w:r>
      <w:r w:rsidRPr="007A0DB9">
        <w:rPr>
          <w:rFonts w:ascii="DecimaWE Rg" w:hAnsi="DecimaWE Rg" w:cs="Calibri"/>
          <w:sz w:val="22"/>
        </w:rPr>
        <w:t>, presenta</w:t>
      </w:r>
      <w:r>
        <w:rPr>
          <w:rFonts w:ascii="DecimaWE Rg" w:hAnsi="DecimaWE Rg" w:cs="Calibri"/>
          <w:sz w:val="22"/>
        </w:rPr>
        <w:t xml:space="preserve"> sindrome da astinenza neonatale con </w:t>
      </w:r>
      <w:r w:rsidRPr="007A0DB9">
        <w:rPr>
          <w:rFonts w:ascii="DecimaWE Rg" w:hAnsi="DecimaWE Rg" w:cs="Calibri"/>
          <w:sz w:val="22"/>
        </w:rPr>
        <w:t>pianto inconsolabile e tremori impossibili da controllare con metodi non farmacologici, per cui viene avviata terapia con metadone con miglioramento della sintomatologia.</w:t>
      </w:r>
    </w:p>
    <w:p w14:paraId="482027DE" w14:textId="77777777" w:rsidR="00A71D2C" w:rsidRPr="007A0DB9" w:rsidRDefault="00A71D2C" w:rsidP="00A71D2C">
      <w:pPr>
        <w:jc w:val="both"/>
        <w:rPr>
          <w:rFonts w:ascii="DecimaWE Rg" w:hAnsi="DecimaWE Rg" w:cs="Calibri"/>
          <w:sz w:val="22"/>
        </w:rPr>
      </w:pPr>
      <w:r w:rsidRPr="007A0DB9">
        <w:rPr>
          <w:rFonts w:ascii="DecimaWE Rg" w:hAnsi="DecimaWE Rg" w:cs="Calibri"/>
          <w:sz w:val="22"/>
        </w:rPr>
        <w:t xml:space="preserve"> </w:t>
      </w:r>
    </w:p>
    <w:p w14:paraId="14A64512" w14:textId="77777777" w:rsidR="00A71D2C" w:rsidRPr="007A0DB9" w:rsidRDefault="00A71D2C" w:rsidP="00A71D2C">
      <w:pPr>
        <w:jc w:val="both"/>
        <w:rPr>
          <w:rFonts w:ascii="DecimaWE Rg" w:hAnsi="DecimaWE Rg" w:cs="Calibri"/>
          <w:b/>
          <w:sz w:val="22"/>
          <w:u w:val="single"/>
        </w:rPr>
      </w:pPr>
      <w:r w:rsidRPr="007A0DB9">
        <w:rPr>
          <w:rFonts w:ascii="DecimaWE Rg" w:hAnsi="DecimaWE Rg" w:cs="Calibri"/>
          <w:b/>
          <w:sz w:val="22"/>
          <w:u w:val="single"/>
        </w:rPr>
        <w:t>Caso C</w:t>
      </w:r>
    </w:p>
    <w:p w14:paraId="49B479B6" w14:textId="77777777" w:rsidR="00A71D2C" w:rsidRPr="007A0DB9" w:rsidRDefault="00A71D2C" w:rsidP="00A71D2C">
      <w:pPr>
        <w:jc w:val="both"/>
        <w:rPr>
          <w:rFonts w:ascii="DecimaWE Rg" w:hAnsi="DecimaWE Rg" w:cs="Calibri"/>
          <w:sz w:val="22"/>
        </w:rPr>
      </w:pPr>
      <w:r w:rsidRPr="007A0DB9">
        <w:rPr>
          <w:rFonts w:ascii="DecimaWE Rg" w:hAnsi="DecimaWE Rg" w:cs="Calibri"/>
          <w:sz w:val="22"/>
        </w:rPr>
        <w:t>Il signor Giovanni Bianchi, 51 anni, assume, dai primi di aprile,</w:t>
      </w:r>
      <w:r w:rsidRPr="007A0DB9">
        <w:rPr>
          <w:rFonts w:ascii="DecimaWE Rg" w:hAnsi="DecimaWE Rg"/>
          <w:sz w:val="22"/>
        </w:rPr>
        <w:t xml:space="preserve"> </w:t>
      </w:r>
      <w:r w:rsidRPr="007A0DB9">
        <w:rPr>
          <w:rFonts w:ascii="DecimaWE Rg" w:hAnsi="DecimaWE Rg" w:cs="Calibri"/>
          <w:sz w:val="22"/>
        </w:rPr>
        <w:t xml:space="preserve">500 mg/die di </w:t>
      </w:r>
      <w:proofErr w:type="spellStart"/>
      <w:r w:rsidRPr="007A0DB9">
        <w:rPr>
          <w:rFonts w:ascii="DecimaWE Rg" w:hAnsi="DecimaWE Rg" w:cs="Calibri"/>
          <w:sz w:val="22"/>
        </w:rPr>
        <w:t>levofloxacina</w:t>
      </w:r>
      <w:proofErr w:type="spellEnd"/>
      <w:r w:rsidRPr="007A0DB9">
        <w:rPr>
          <w:rFonts w:ascii="DecimaWE Rg" w:hAnsi="DecimaWE Rg" w:cs="Calibri"/>
          <w:sz w:val="22"/>
        </w:rPr>
        <w:t xml:space="preserve"> ad ora di cena per una prostatite batterica cronica.</w:t>
      </w:r>
    </w:p>
    <w:p w14:paraId="2BAE2179" w14:textId="77777777" w:rsidR="00A71D2C" w:rsidRPr="007A0DB9" w:rsidRDefault="00A71D2C" w:rsidP="00A71D2C">
      <w:pPr>
        <w:jc w:val="both"/>
        <w:rPr>
          <w:rFonts w:ascii="DecimaWE Rg" w:hAnsi="DecimaWE Rg" w:cs="Calibri"/>
          <w:sz w:val="22"/>
        </w:rPr>
      </w:pPr>
      <w:r w:rsidRPr="007A0DB9">
        <w:rPr>
          <w:rFonts w:ascii="DecimaWE Rg" w:hAnsi="DecimaWE Rg" w:cs="Calibri"/>
          <w:sz w:val="22"/>
        </w:rPr>
        <w:t>In data 23/04/24, a seguito di un’estrazione dentaria, riceve indicazione di assumere OKI bustine in caso di dolore per due giorni.</w:t>
      </w:r>
    </w:p>
    <w:p w14:paraId="5246D714" w14:textId="77777777" w:rsidR="00A71D2C" w:rsidRPr="007A0DB9" w:rsidRDefault="00A71D2C" w:rsidP="00A71D2C">
      <w:pPr>
        <w:jc w:val="both"/>
        <w:rPr>
          <w:rFonts w:ascii="DecimaWE Rg" w:hAnsi="DecimaWE Rg" w:cs="Calibri"/>
          <w:sz w:val="22"/>
        </w:rPr>
      </w:pPr>
      <w:r w:rsidRPr="007A0DB9">
        <w:rPr>
          <w:rFonts w:ascii="DecimaWE Rg" w:hAnsi="DecimaWE Rg" w:cs="Calibri"/>
          <w:sz w:val="22"/>
        </w:rPr>
        <w:t>Il 24/04/2024, vista la bella giornata di sole, lavora tutto il pomeriggio in giardino.</w:t>
      </w:r>
    </w:p>
    <w:p w14:paraId="02B5F5FB" w14:textId="77777777" w:rsidR="00A71D2C" w:rsidRPr="007A0DB9" w:rsidRDefault="00A71D2C" w:rsidP="00A71D2C">
      <w:pPr>
        <w:jc w:val="both"/>
        <w:rPr>
          <w:rFonts w:ascii="DecimaWE Rg" w:hAnsi="DecimaWE Rg" w:cs="Calibri"/>
          <w:sz w:val="22"/>
        </w:rPr>
      </w:pPr>
      <w:r w:rsidRPr="007A0DB9">
        <w:rPr>
          <w:rFonts w:ascii="DecimaWE Rg" w:hAnsi="DecimaWE Rg" w:cs="Calibri"/>
          <w:sz w:val="22"/>
        </w:rPr>
        <w:t>La sera manifesta forte prurito alle mani, al tronco e alle gambe con eruzione cutanea su tutto il corpo</w:t>
      </w:r>
      <w:r>
        <w:rPr>
          <w:rFonts w:ascii="DecimaWE Rg" w:hAnsi="DecimaWE Rg" w:cs="Calibri"/>
          <w:sz w:val="22"/>
        </w:rPr>
        <w:t xml:space="preserve"> (probabile reazione di fotosensibilizzazione)</w:t>
      </w:r>
      <w:r w:rsidRPr="007A0DB9">
        <w:rPr>
          <w:rFonts w:ascii="DecimaWE Rg" w:hAnsi="DecimaWE Rg" w:cs="Calibri"/>
          <w:sz w:val="22"/>
        </w:rPr>
        <w:t>, quindi si reca al PS.</w:t>
      </w:r>
    </w:p>
    <w:p w14:paraId="19AA5E40" w14:textId="77777777" w:rsidR="00A71D2C" w:rsidRPr="007A0DB9" w:rsidRDefault="00A71D2C" w:rsidP="00A71D2C">
      <w:pPr>
        <w:jc w:val="both"/>
        <w:rPr>
          <w:rFonts w:ascii="DecimaWE Rg" w:hAnsi="DecimaWE Rg" w:cs="Calibri"/>
          <w:sz w:val="22"/>
        </w:rPr>
      </w:pPr>
      <w:r w:rsidRPr="007A0DB9">
        <w:rPr>
          <w:rFonts w:ascii="DecimaWE Rg" w:hAnsi="DecimaWE Rg" w:cs="Calibri"/>
          <w:sz w:val="22"/>
        </w:rPr>
        <w:t xml:space="preserve">In PS gli vengono somministrati antistaminici e cortisonici </w:t>
      </w:r>
      <w:r>
        <w:rPr>
          <w:rFonts w:ascii="DecimaWE Rg" w:hAnsi="DecimaWE Rg" w:cs="Calibri"/>
          <w:sz w:val="22"/>
        </w:rPr>
        <w:t xml:space="preserve">endovena </w:t>
      </w:r>
      <w:r w:rsidRPr="007A0DB9">
        <w:rPr>
          <w:rFonts w:ascii="DecimaWE Rg" w:hAnsi="DecimaWE Rg" w:cs="Calibri"/>
          <w:sz w:val="22"/>
        </w:rPr>
        <w:t>e la reazione si risolve completamente.</w:t>
      </w:r>
    </w:p>
    <w:p w14:paraId="37EE7C58" w14:textId="77777777" w:rsidR="00A71D2C" w:rsidRPr="007A0DB9" w:rsidRDefault="00A71D2C" w:rsidP="00A71D2C">
      <w:pPr>
        <w:jc w:val="both"/>
        <w:rPr>
          <w:rFonts w:ascii="DecimaWE Rg" w:hAnsi="DecimaWE Rg" w:cs="Calibri"/>
          <w:sz w:val="22"/>
        </w:rPr>
      </w:pPr>
      <w:r w:rsidRPr="007A0DB9">
        <w:rPr>
          <w:rFonts w:ascii="DecimaWE Rg" w:hAnsi="DecimaWE Rg" w:cs="Calibri"/>
          <w:sz w:val="22"/>
        </w:rPr>
        <w:t xml:space="preserve">Nei giorni successivi continua a prendere la </w:t>
      </w:r>
      <w:proofErr w:type="spellStart"/>
      <w:r w:rsidRPr="007A0DB9">
        <w:rPr>
          <w:rFonts w:ascii="DecimaWE Rg" w:hAnsi="DecimaWE Rg" w:cs="Calibri"/>
          <w:sz w:val="22"/>
        </w:rPr>
        <w:t>levofloxacina</w:t>
      </w:r>
      <w:proofErr w:type="spellEnd"/>
      <w:r w:rsidRPr="007A0DB9">
        <w:rPr>
          <w:rFonts w:ascii="DecimaWE Rg" w:hAnsi="DecimaWE Rg" w:cs="Calibri"/>
          <w:sz w:val="22"/>
        </w:rPr>
        <w:t xml:space="preserve"> come d</w:t>
      </w:r>
      <w:r>
        <w:rPr>
          <w:rFonts w:ascii="DecimaWE Rg" w:hAnsi="DecimaWE Rg" w:cs="Calibri"/>
          <w:sz w:val="22"/>
        </w:rPr>
        <w:t>i consueto mentre sospende l’OKI</w:t>
      </w:r>
      <w:r w:rsidRPr="007A0DB9">
        <w:rPr>
          <w:rFonts w:ascii="DecimaWE Rg" w:hAnsi="DecimaWE Rg" w:cs="Calibri"/>
          <w:sz w:val="22"/>
        </w:rPr>
        <w:t>.</w:t>
      </w:r>
    </w:p>
    <w:p w14:paraId="53250433" w14:textId="77777777" w:rsidR="00A71D2C" w:rsidRPr="007A0DB9" w:rsidRDefault="00A71D2C" w:rsidP="00A71D2C">
      <w:pPr>
        <w:jc w:val="both"/>
        <w:rPr>
          <w:rFonts w:ascii="DecimaWE Rg" w:hAnsi="DecimaWE Rg" w:cs="Calibri"/>
          <w:sz w:val="22"/>
        </w:rPr>
      </w:pPr>
      <w:r w:rsidRPr="007A0DB9">
        <w:rPr>
          <w:rFonts w:ascii="DecimaWE Rg" w:hAnsi="DecimaWE Rg" w:cs="Calibri"/>
          <w:sz w:val="22"/>
        </w:rPr>
        <w:t>Una volta rientrato a casa decide di compilare una segnalazione di farmacovigilanza.</w:t>
      </w:r>
    </w:p>
    <w:p w14:paraId="4E1EF643" w14:textId="77777777" w:rsidR="00A71D2C" w:rsidRPr="007A0DB9" w:rsidRDefault="00A71D2C" w:rsidP="00A71D2C">
      <w:pPr>
        <w:jc w:val="both"/>
        <w:rPr>
          <w:rFonts w:ascii="DecimaWE Rg" w:hAnsi="DecimaWE Rg" w:cs="Calibri"/>
          <w:sz w:val="22"/>
        </w:rPr>
      </w:pPr>
    </w:p>
    <w:p w14:paraId="14DA4B19" w14:textId="77777777" w:rsidR="00A71D2C" w:rsidRPr="007A0DB9" w:rsidRDefault="00A71D2C" w:rsidP="00A71D2C">
      <w:pPr>
        <w:jc w:val="both"/>
        <w:rPr>
          <w:rFonts w:ascii="DecimaWE Rg" w:hAnsi="DecimaWE Rg" w:cs="Calibri"/>
          <w:b/>
          <w:sz w:val="22"/>
          <w:u w:val="single"/>
        </w:rPr>
      </w:pPr>
      <w:r w:rsidRPr="007A0DB9">
        <w:rPr>
          <w:rFonts w:ascii="DecimaWE Rg" w:hAnsi="DecimaWE Rg" w:cs="Calibri"/>
          <w:b/>
          <w:sz w:val="22"/>
          <w:u w:val="single"/>
        </w:rPr>
        <w:t>Caso D</w:t>
      </w:r>
    </w:p>
    <w:p w14:paraId="157FC0FF" w14:textId="77777777" w:rsidR="00A71D2C" w:rsidRPr="007A0DB9" w:rsidRDefault="00A71D2C" w:rsidP="00A71D2C">
      <w:pPr>
        <w:jc w:val="both"/>
        <w:rPr>
          <w:rFonts w:ascii="DecimaWE Rg" w:hAnsi="DecimaWE Rg" w:cs="Calibri"/>
          <w:sz w:val="22"/>
        </w:rPr>
      </w:pPr>
      <w:r w:rsidRPr="007A0DB9">
        <w:rPr>
          <w:rFonts w:ascii="DecimaWE Rg" w:hAnsi="DecimaWE Rg" w:cs="Calibri"/>
          <w:sz w:val="22"/>
        </w:rPr>
        <w:t xml:space="preserve">La signora S.S., 83 anni, entra in PS in data 28/04/2024 per inappetenza, sonnolenza e difficoltà alla deambulazione. Accolta il giorno 30/04/2024 in </w:t>
      </w:r>
      <w:proofErr w:type="spellStart"/>
      <w:r w:rsidRPr="00996B15">
        <w:rPr>
          <w:rFonts w:ascii="DecimaWE Rg" w:hAnsi="DecimaWE Rg" w:cs="Calibri"/>
          <w:i/>
          <w:sz w:val="22"/>
        </w:rPr>
        <w:t>Hospice</w:t>
      </w:r>
      <w:proofErr w:type="spellEnd"/>
      <w:r w:rsidRPr="007A0DB9">
        <w:rPr>
          <w:rFonts w:ascii="DecimaWE Rg" w:hAnsi="DecimaWE Rg" w:cs="Calibri"/>
          <w:sz w:val="22"/>
        </w:rPr>
        <w:t xml:space="preserve"> per rimodulazione della terapia giunge vigile lucida orientata e collaborante, viene quindi dimessa. Dal giorno 24/04/2024 assume 5 gtt tre volte al giorno di estratto di cannabis (cannabis </w:t>
      </w:r>
      <w:proofErr w:type="spellStart"/>
      <w:r w:rsidRPr="007A0DB9">
        <w:rPr>
          <w:rFonts w:ascii="DecimaWE Rg" w:hAnsi="DecimaWE Rg" w:cs="Calibri"/>
          <w:sz w:val="22"/>
        </w:rPr>
        <w:t>Farmalabor</w:t>
      </w:r>
      <w:proofErr w:type="spellEnd"/>
      <w:r w:rsidRPr="007A0DB9">
        <w:rPr>
          <w:rFonts w:ascii="DecimaWE Rg" w:hAnsi="DecimaWE Rg" w:cs="Calibri"/>
          <w:sz w:val="22"/>
        </w:rPr>
        <w:t xml:space="preserve"> THC 15%, 2 ml + estratto di cannabis </w:t>
      </w:r>
      <w:proofErr w:type="spellStart"/>
      <w:r w:rsidRPr="007A0DB9">
        <w:rPr>
          <w:rFonts w:ascii="DecimaWE Rg" w:hAnsi="DecimaWE Rg" w:cs="Calibri"/>
          <w:sz w:val="22"/>
        </w:rPr>
        <w:t>Farmalabor</w:t>
      </w:r>
      <w:proofErr w:type="spellEnd"/>
      <w:r w:rsidRPr="007A0DB9">
        <w:rPr>
          <w:rFonts w:ascii="DecimaWE Rg" w:hAnsi="DecimaWE Rg" w:cs="Calibri"/>
          <w:sz w:val="22"/>
        </w:rPr>
        <w:t xml:space="preserve"> con CBD 5% 8 ml + olio </w:t>
      </w:r>
      <w:proofErr w:type="spellStart"/>
      <w:r w:rsidRPr="007A0DB9">
        <w:rPr>
          <w:rFonts w:ascii="DecimaWE Rg" w:hAnsi="DecimaWE Rg" w:cs="Calibri"/>
          <w:sz w:val="22"/>
        </w:rPr>
        <w:t>qb</w:t>
      </w:r>
      <w:proofErr w:type="spellEnd"/>
      <w:r w:rsidRPr="007A0DB9">
        <w:rPr>
          <w:rFonts w:ascii="DecimaWE Rg" w:hAnsi="DecimaWE Rg" w:cs="Calibri"/>
          <w:sz w:val="22"/>
        </w:rPr>
        <w:t xml:space="preserve"> a 50 </w:t>
      </w:r>
      <w:proofErr w:type="gramStart"/>
      <w:r w:rsidRPr="007A0DB9">
        <w:rPr>
          <w:rFonts w:ascii="DecimaWE Rg" w:hAnsi="DecimaWE Rg" w:cs="Calibri"/>
          <w:sz w:val="22"/>
        </w:rPr>
        <w:t>ml )</w:t>
      </w:r>
      <w:proofErr w:type="gramEnd"/>
      <w:r w:rsidRPr="007A0DB9">
        <w:rPr>
          <w:rFonts w:ascii="DecimaWE Rg" w:hAnsi="DecimaWE Rg" w:cs="Calibri"/>
          <w:sz w:val="22"/>
        </w:rPr>
        <w:t>, che viene sospesa dopo l’episodio di ingresso in PS.</w:t>
      </w:r>
    </w:p>
    <w:p w14:paraId="611BB1FA" w14:textId="77777777" w:rsidR="00A71D2C" w:rsidRPr="007A0DB9" w:rsidRDefault="00A71D2C" w:rsidP="00A71D2C">
      <w:pPr>
        <w:jc w:val="both"/>
        <w:rPr>
          <w:rFonts w:ascii="DecimaWE Rg" w:hAnsi="DecimaWE Rg" w:cs="Calibri"/>
          <w:sz w:val="22"/>
        </w:rPr>
      </w:pPr>
      <w:r w:rsidRPr="007A0DB9">
        <w:rPr>
          <w:rFonts w:ascii="DecimaWE Rg" w:hAnsi="DecimaWE Rg" w:cs="Calibri"/>
          <w:sz w:val="22"/>
        </w:rPr>
        <w:t>In storia clinica: cardiopatia ipertensiva, ipotiroidismo, insufficienza renale cronica, Mieloma multiplo.</w:t>
      </w:r>
    </w:p>
    <w:p w14:paraId="7E87BEA0" w14:textId="77777777" w:rsidR="00A71D2C" w:rsidRPr="007A0DB9" w:rsidRDefault="00A71D2C" w:rsidP="00A71D2C">
      <w:pPr>
        <w:jc w:val="both"/>
        <w:rPr>
          <w:rFonts w:ascii="DecimaWE Rg" w:hAnsi="DecimaWE Rg" w:cs="Calibri"/>
          <w:sz w:val="22"/>
        </w:rPr>
      </w:pPr>
    </w:p>
    <w:p w14:paraId="38A8F52A" w14:textId="77777777" w:rsidR="00A71D2C" w:rsidRPr="007A0DB9" w:rsidRDefault="00A71D2C" w:rsidP="00A71D2C">
      <w:pPr>
        <w:jc w:val="both"/>
        <w:rPr>
          <w:rFonts w:ascii="DecimaWE Rg" w:hAnsi="DecimaWE Rg" w:cs="Calibri"/>
          <w:b/>
          <w:sz w:val="22"/>
          <w:u w:val="single"/>
        </w:rPr>
      </w:pPr>
      <w:r w:rsidRPr="007A0DB9">
        <w:rPr>
          <w:rFonts w:ascii="DecimaWE Rg" w:hAnsi="DecimaWE Rg" w:cs="Calibri"/>
          <w:b/>
          <w:sz w:val="22"/>
          <w:u w:val="single"/>
        </w:rPr>
        <w:t>Caso E</w:t>
      </w:r>
    </w:p>
    <w:p w14:paraId="44D21B9B" w14:textId="77777777" w:rsidR="00A71D2C" w:rsidRPr="007A0DB9" w:rsidRDefault="00A71D2C" w:rsidP="00A71D2C">
      <w:pPr>
        <w:jc w:val="both"/>
        <w:rPr>
          <w:rFonts w:ascii="DecimaWE Rg" w:hAnsi="DecimaWE Rg" w:cs="Calibri"/>
          <w:sz w:val="22"/>
        </w:rPr>
      </w:pPr>
      <w:r w:rsidRPr="007A0DB9">
        <w:rPr>
          <w:rFonts w:ascii="DecimaWE Rg" w:hAnsi="DecimaWE Rg" w:cs="Calibri"/>
          <w:sz w:val="22"/>
        </w:rPr>
        <w:t>La signora M.K., 78 anni, da febbraio assume, sotto consiglio di un’amica, un integratore a base di riso rosso fermentato per abbassare il colesterolo.</w:t>
      </w:r>
    </w:p>
    <w:p w14:paraId="4B79F0DC" w14:textId="77777777" w:rsidR="00A71D2C" w:rsidRPr="007A0DB9" w:rsidRDefault="00A71D2C" w:rsidP="00A71D2C">
      <w:pPr>
        <w:jc w:val="both"/>
        <w:rPr>
          <w:rFonts w:ascii="DecimaWE Rg" w:hAnsi="DecimaWE Rg" w:cs="Calibri"/>
          <w:sz w:val="22"/>
        </w:rPr>
      </w:pPr>
      <w:r w:rsidRPr="007A0DB9">
        <w:rPr>
          <w:rFonts w:ascii="DecimaWE Rg" w:hAnsi="DecimaWE Rg" w:cs="Calibri"/>
          <w:sz w:val="22"/>
        </w:rPr>
        <w:t xml:space="preserve">Dai primi di agosto manifesta mialgia ed aumento della </w:t>
      </w:r>
      <w:proofErr w:type="spellStart"/>
      <w:r w:rsidRPr="007A0DB9">
        <w:rPr>
          <w:rFonts w:ascii="DecimaWE Rg" w:hAnsi="DecimaWE Rg" w:cs="Calibri"/>
          <w:sz w:val="22"/>
        </w:rPr>
        <w:t>creatinfosfochinasi</w:t>
      </w:r>
      <w:proofErr w:type="spellEnd"/>
      <w:r w:rsidRPr="007A0DB9">
        <w:rPr>
          <w:rFonts w:ascii="DecimaWE Rg" w:hAnsi="DecimaWE Rg" w:cs="Calibri"/>
          <w:sz w:val="22"/>
        </w:rPr>
        <w:t>, confermate dal MMG che dà indicazione di sospendere l’assunzione: si ha un progressivo miglioramento dei sintomi fino a completa risoluzione.</w:t>
      </w:r>
    </w:p>
    <w:p w14:paraId="201A02D0" w14:textId="77777777" w:rsidR="00A71D2C" w:rsidRPr="007A0DB9" w:rsidRDefault="00A71D2C" w:rsidP="00A71D2C">
      <w:pPr>
        <w:jc w:val="both"/>
        <w:rPr>
          <w:rFonts w:ascii="DecimaWE Rg" w:hAnsi="DecimaWE Rg" w:cs="Calibri"/>
          <w:sz w:val="22"/>
        </w:rPr>
      </w:pPr>
      <w:r w:rsidRPr="007A0DB9">
        <w:rPr>
          <w:rFonts w:ascii="DecimaWE Rg" w:hAnsi="DecimaWE Rg" w:cs="Calibri"/>
          <w:sz w:val="22"/>
        </w:rPr>
        <w:t xml:space="preserve">In storia clinica: alterazione della funzione </w:t>
      </w:r>
      <w:proofErr w:type="spellStart"/>
      <w:r w:rsidRPr="007A0DB9">
        <w:rPr>
          <w:rFonts w:ascii="DecimaWE Rg" w:hAnsi="DecimaWE Rg" w:cs="Calibri"/>
          <w:sz w:val="22"/>
        </w:rPr>
        <w:t>epato</w:t>
      </w:r>
      <w:proofErr w:type="spellEnd"/>
      <w:r w:rsidRPr="007A0DB9">
        <w:rPr>
          <w:rFonts w:ascii="DecimaWE Rg" w:hAnsi="DecimaWE Rg" w:cs="Calibri"/>
          <w:sz w:val="22"/>
        </w:rPr>
        <w:t>-biliare, diabete mellito, scompenso cardiaco.</w:t>
      </w:r>
    </w:p>
    <w:p w14:paraId="20EAA5B4" w14:textId="77777777" w:rsidR="00A71D2C" w:rsidRDefault="00A71D2C" w:rsidP="00A71D2C">
      <w:pPr>
        <w:pStyle w:val="NormaleWeb"/>
        <w:spacing w:before="0" w:beforeAutospacing="0" w:after="0" w:afterAutospacing="0"/>
        <w:rPr>
          <w:rFonts w:ascii="DecimaWE Rg" w:eastAsiaTheme="minorEastAsia" w:hAnsi="DecimaWE Rg" w:cstheme="minorBidi"/>
          <w:b/>
          <w:bCs/>
          <w:color w:val="000000" w:themeColor="text1"/>
          <w:kern w:val="24"/>
        </w:rPr>
      </w:pPr>
    </w:p>
    <w:p w14:paraId="793D2673" w14:textId="77777777" w:rsidR="00A71D2C" w:rsidRDefault="00A71D2C" w:rsidP="00A56EB0">
      <w:pPr>
        <w:pStyle w:val="Titolo1"/>
        <w:spacing w:before="0"/>
        <w:rPr>
          <w:rFonts w:ascii="DecimaWE Rg" w:hAnsi="DecimaWE Rg"/>
        </w:rPr>
      </w:pPr>
    </w:p>
    <w:p w14:paraId="1634FC0A" w14:textId="59DC7339" w:rsidR="00A56EB0" w:rsidRDefault="00A56EB0" w:rsidP="00A56EB0">
      <w:pPr>
        <w:pStyle w:val="Titolo1"/>
        <w:spacing w:before="0"/>
        <w:rPr>
          <w:rFonts w:ascii="DecimaWE Rg" w:hAnsi="DecimaWE Rg"/>
        </w:rPr>
      </w:pPr>
      <w:r>
        <w:rPr>
          <w:rFonts w:ascii="DecimaWE Rg" w:hAnsi="DecimaWE Rg"/>
        </w:rPr>
        <w:t>VACCINOVIGILANZA</w:t>
      </w:r>
    </w:p>
    <w:p w14:paraId="3C92FBA7" w14:textId="6DCD1CFE" w:rsidR="002164EB" w:rsidRDefault="002164EB" w:rsidP="002164EB"/>
    <w:p w14:paraId="163274E3" w14:textId="77777777" w:rsidR="003D2620" w:rsidRDefault="003D2620" w:rsidP="003D2620">
      <w:pPr>
        <w:pStyle w:val="Titolo2"/>
        <w:numPr>
          <w:ilvl w:val="0"/>
          <w:numId w:val="20"/>
        </w:numPr>
        <w:rPr>
          <w:rFonts w:ascii="DecimaWE Rg" w:hAnsi="DecimaWE Rg"/>
          <w:b/>
          <w:i/>
        </w:rPr>
      </w:pPr>
      <w:r>
        <w:rPr>
          <w:rFonts w:ascii="DecimaWE Rg" w:hAnsi="DecimaWE Rg"/>
          <w:b/>
          <w:i/>
        </w:rPr>
        <w:t>Il punto di vista del segnalatore</w:t>
      </w:r>
    </w:p>
    <w:p w14:paraId="28BAF8CB" w14:textId="77777777" w:rsidR="003D2620" w:rsidRDefault="003D2620" w:rsidP="003D2620">
      <w:pPr>
        <w:jc w:val="both"/>
        <w:rPr>
          <w:rFonts w:ascii="DecimaWE Rg" w:hAnsi="DecimaWE Rg" w:cs="Calibri"/>
          <w:b/>
          <w:color w:val="385623" w:themeColor="accent6" w:themeShade="80"/>
          <w:u w:val="single"/>
        </w:rPr>
      </w:pPr>
    </w:p>
    <w:p w14:paraId="27E74370" w14:textId="77777777" w:rsidR="003D2620" w:rsidRDefault="003D2620" w:rsidP="003D2620">
      <w:pPr>
        <w:ind w:left="78"/>
        <w:jc w:val="both"/>
        <w:rPr>
          <w:rFonts w:ascii="DecimaWE Rg" w:hAnsi="DecimaWE Rg" w:cs="Calibri"/>
          <w:sz w:val="22"/>
        </w:rPr>
      </w:pPr>
      <w:r>
        <w:rPr>
          <w:rFonts w:ascii="DecimaWE Rg" w:hAnsi="DecimaWE Rg" w:cs="Calibri"/>
          <w:sz w:val="22"/>
        </w:rPr>
        <w:t xml:space="preserve">Considerati i casi clinici, valutare se e come compilare una segnalazione di sospetta </w:t>
      </w:r>
      <w:r w:rsidRPr="0057592F">
        <w:rPr>
          <w:rFonts w:ascii="DecimaWE Rg" w:hAnsi="DecimaWE Rg" w:cs="Calibri"/>
          <w:i/>
          <w:sz w:val="22"/>
        </w:rPr>
        <w:t>ADR</w:t>
      </w:r>
      <w:r>
        <w:rPr>
          <w:rFonts w:ascii="DecimaWE Rg" w:hAnsi="DecimaWE Rg" w:cs="Calibri"/>
          <w:sz w:val="22"/>
        </w:rPr>
        <w:t>.</w:t>
      </w:r>
    </w:p>
    <w:p w14:paraId="6E12E24C" w14:textId="77777777" w:rsidR="003D2620" w:rsidRDefault="003D2620" w:rsidP="003D2620">
      <w:pPr>
        <w:ind w:left="78"/>
        <w:rPr>
          <w:i/>
        </w:rPr>
      </w:pPr>
    </w:p>
    <w:p w14:paraId="658069CE" w14:textId="77777777" w:rsidR="003D2620" w:rsidRDefault="003D2620" w:rsidP="003D2620">
      <w:pPr>
        <w:ind w:left="78"/>
        <w:jc w:val="both"/>
        <w:rPr>
          <w:rFonts w:ascii="DecimaWE Rg" w:hAnsi="DecimaWE Rg" w:cs="Calibri"/>
        </w:rPr>
      </w:pPr>
    </w:p>
    <w:p w14:paraId="0A67E8C5" w14:textId="77777777" w:rsidR="003D2620" w:rsidRDefault="003D2620" w:rsidP="003D2620">
      <w:pPr>
        <w:pStyle w:val="Titolo2"/>
        <w:numPr>
          <w:ilvl w:val="0"/>
          <w:numId w:val="20"/>
        </w:numPr>
        <w:rPr>
          <w:rFonts w:ascii="DecimaWE Rg" w:hAnsi="DecimaWE Rg"/>
          <w:b/>
          <w:i/>
        </w:rPr>
      </w:pPr>
      <w:r>
        <w:rPr>
          <w:rFonts w:ascii="DecimaWE Rg" w:hAnsi="DecimaWE Rg"/>
          <w:b/>
          <w:i/>
        </w:rPr>
        <w:t>Il punto di vista del Centro Regionale di Farmacovigilanza (CRFV)</w:t>
      </w:r>
    </w:p>
    <w:p w14:paraId="4F597461" w14:textId="77777777" w:rsidR="003D2620" w:rsidRDefault="003D2620" w:rsidP="003D2620">
      <w:pPr>
        <w:ind w:left="78"/>
        <w:jc w:val="both"/>
        <w:rPr>
          <w:rFonts w:ascii="DecimaWE Rg" w:hAnsi="DecimaWE Rg" w:cs="Calibri"/>
        </w:rPr>
      </w:pPr>
    </w:p>
    <w:p w14:paraId="35D28A86" w14:textId="77777777" w:rsidR="003D2620" w:rsidRDefault="003D2620" w:rsidP="003D2620">
      <w:pPr>
        <w:ind w:left="78"/>
        <w:jc w:val="both"/>
        <w:rPr>
          <w:rFonts w:ascii="DecimaWE Rg" w:hAnsi="DecimaWE Rg" w:cs="Calibri"/>
          <w:sz w:val="22"/>
        </w:rPr>
      </w:pPr>
      <w:r>
        <w:rPr>
          <w:rFonts w:ascii="DecimaWE Rg" w:hAnsi="DecimaWE Rg" w:cs="Calibri"/>
          <w:sz w:val="22"/>
        </w:rPr>
        <w:t>La segnalazione validata risulta ora essere inserita in RNF.</w:t>
      </w:r>
    </w:p>
    <w:p w14:paraId="691915FC" w14:textId="77777777" w:rsidR="003D2620" w:rsidRDefault="003D2620" w:rsidP="003D2620">
      <w:pPr>
        <w:ind w:left="78"/>
        <w:jc w:val="both"/>
        <w:rPr>
          <w:rFonts w:ascii="DecimaWE Rg" w:hAnsi="DecimaWE Rg" w:cs="Calibri"/>
          <w:sz w:val="22"/>
        </w:rPr>
      </w:pPr>
      <w:r>
        <w:rPr>
          <w:rFonts w:ascii="DecimaWE Rg" w:hAnsi="DecimaWE Rg" w:cs="Calibri"/>
          <w:sz w:val="22"/>
        </w:rPr>
        <w:t>Il CRFV controlla la qualità del dato, richiede informazioni aggiuntive se lo ritiene necessario (</w:t>
      </w:r>
      <w:r>
        <w:rPr>
          <w:rFonts w:ascii="DecimaWE Rg" w:hAnsi="DecimaWE Rg" w:cs="Calibri"/>
          <w:i/>
          <w:iCs/>
          <w:sz w:val="22"/>
        </w:rPr>
        <w:t>follow-up</w:t>
      </w:r>
      <w:r>
        <w:rPr>
          <w:rFonts w:ascii="DecimaWE Rg" w:hAnsi="DecimaWE Rg" w:cs="Calibri"/>
          <w:sz w:val="22"/>
        </w:rPr>
        <w:t>) e, per le reazioni gravi, effettua la valutazione del nesso di causalità (</w:t>
      </w:r>
      <w:r>
        <w:rPr>
          <w:rFonts w:ascii="DecimaWE Rg" w:hAnsi="DecimaWE Rg" w:cs="Calibri"/>
          <w:i/>
          <w:iCs/>
          <w:sz w:val="22"/>
        </w:rPr>
        <w:t>causality assessment</w:t>
      </w:r>
      <w:r>
        <w:rPr>
          <w:rFonts w:ascii="DecimaWE Rg" w:hAnsi="DecimaWE Rg" w:cs="Calibri"/>
          <w:sz w:val="22"/>
        </w:rPr>
        <w:t>) utilizzando l’algoritmo dell’OMS.</w:t>
      </w:r>
    </w:p>
    <w:p w14:paraId="64D94588" w14:textId="77777777" w:rsidR="00A56EB0" w:rsidRPr="005E7316" w:rsidRDefault="00A56EB0" w:rsidP="00A56EB0">
      <w:pPr>
        <w:jc w:val="both"/>
        <w:rPr>
          <w:rFonts w:ascii="DecimaWE Rg" w:hAnsi="DecimaWE Rg"/>
          <w:b/>
          <w:sz w:val="20"/>
          <w:u w:val="single"/>
        </w:rPr>
      </w:pPr>
    </w:p>
    <w:p w14:paraId="7E4D67E4" w14:textId="77777777" w:rsidR="00A56EB0" w:rsidRDefault="00A56EB0" w:rsidP="00A56EB0">
      <w:pPr>
        <w:ind w:left="156"/>
        <w:jc w:val="both"/>
        <w:rPr>
          <w:rFonts w:ascii="DecimaWE Rg" w:hAnsi="DecimaWE Rg" w:cs="Calibri"/>
          <w:sz w:val="22"/>
        </w:rPr>
      </w:pPr>
    </w:p>
    <w:p w14:paraId="7A978ED6" w14:textId="77777777" w:rsidR="00A56EB0" w:rsidRDefault="00A56EB0" w:rsidP="00A56EB0">
      <w:pPr>
        <w:ind w:left="78"/>
        <w:jc w:val="both"/>
        <w:rPr>
          <w:rFonts w:ascii="DecimaWE Rg" w:hAnsi="DecimaWE Rg" w:cs="Calibri"/>
          <w:sz w:val="22"/>
        </w:rPr>
      </w:pPr>
    </w:p>
    <w:p w14:paraId="234F8F12" w14:textId="25F0337E" w:rsidR="00A56EB0" w:rsidRDefault="00A56EB0" w:rsidP="00A56EB0">
      <w:pPr>
        <w:ind w:left="78"/>
        <w:jc w:val="both"/>
        <w:rPr>
          <w:rFonts w:ascii="DecimaWE Rg" w:hAnsi="DecimaWE Rg" w:cs="Calibri"/>
          <w:sz w:val="22"/>
        </w:rPr>
      </w:pPr>
    </w:p>
    <w:p w14:paraId="0AF425D8" w14:textId="535C845E" w:rsidR="002164EB" w:rsidRDefault="002164EB" w:rsidP="00A56EB0">
      <w:pPr>
        <w:ind w:left="78"/>
        <w:jc w:val="both"/>
        <w:rPr>
          <w:rFonts w:ascii="DecimaWE Rg" w:hAnsi="DecimaWE Rg" w:cs="Calibri"/>
          <w:sz w:val="22"/>
        </w:rPr>
      </w:pPr>
    </w:p>
    <w:p w14:paraId="1F4EED22" w14:textId="31EBE2CE" w:rsidR="002164EB" w:rsidRDefault="002164EB" w:rsidP="00A56EB0">
      <w:pPr>
        <w:ind w:left="78"/>
        <w:jc w:val="both"/>
        <w:rPr>
          <w:rFonts w:ascii="DecimaWE Rg" w:hAnsi="DecimaWE Rg" w:cs="Calibri"/>
          <w:sz w:val="22"/>
        </w:rPr>
      </w:pPr>
    </w:p>
    <w:p w14:paraId="4168CE2E" w14:textId="6CBA9047" w:rsidR="002164EB" w:rsidRDefault="002164EB" w:rsidP="00A56EB0">
      <w:pPr>
        <w:ind w:left="78"/>
        <w:jc w:val="both"/>
        <w:rPr>
          <w:rFonts w:ascii="DecimaWE Rg" w:hAnsi="DecimaWE Rg" w:cs="Calibri"/>
          <w:sz w:val="22"/>
        </w:rPr>
      </w:pPr>
    </w:p>
    <w:p w14:paraId="4C3DDE44" w14:textId="7C84B4E2" w:rsidR="002164EB" w:rsidRDefault="002164EB" w:rsidP="00A56EB0">
      <w:pPr>
        <w:ind w:left="78"/>
        <w:jc w:val="both"/>
        <w:rPr>
          <w:rFonts w:ascii="DecimaWE Rg" w:hAnsi="DecimaWE Rg" w:cs="Calibri"/>
          <w:sz w:val="22"/>
        </w:rPr>
      </w:pPr>
    </w:p>
    <w:p w14:paraId="0A1C4EAC" w14:textId="7B02C6AA" w:rsidR="002164EB" w:rsidRDefault="002164EB" w:rsidP="00A56EB0">
      <w:pPr>
        <w:ind w:left="78"/>
        <w:jc w:val="both"/>
        <w:rPr>
          <w:rFonts w:ascii="DecimaWE Rg" w:hAnsi="DecimaWE Rg" w:cs="Calibri"/>
          <w:sz w:val="22"/>
        </w:rPr>
      </w:pPr>
    </w:p>
    <w:p w14:paraId="348C7214" w14:textId="0B0128BC" w:rsidR="002164EB" w:rsidRDefault="002164EB" w:rsidP="00A56EB0">
      <w:pPr>
        <w:ind w:left="78"/>
        <w:jc w:val="both"/>
        <w:rPr>
          <w:rFonts w:ascii="DecimaWE Rg" w:hAnsi="DecimaWE Rg" w:cs="Calibri"/>
          <w:sz w:val="22"/>
        </w:rPr>
      </w:pPr>
    </w:p>
    <w:p w14:paraId="46846201" w14:textId="5FB0928F" w:rsidR="002164EB" w:rsidRDefault="002164EB" w:rsidP="00A56EB0">
      <w:pPr>
        <w:ind w:left="78"/>
        <w:jc w:val="both"/>
        <w:rPr>
          <w:rFonts w:ascii="DecimaWE Rg" w:hAnsi="DecimaWE Rg" w:cs="Calibri"/>
          <w:sz w:val="22"/>
        </w:rPr>
      </w:pPr>
    </w:p>
    <w:p w14:paraId="13F35BC2" w14:textId="77777777" w:rsidR="002164EB" w:rsidRDefault="002164EB" w:rsidP="00A56EB0">
      <w:pPr>
        <w:ind w:left="78"/>
        <w:jc w:val="both"/>
        <w:rPr>
          <w:rFonts w:ascii="DecimaWE Rg" w:hAnsi="DecimaWE Rg" w:cs="Calibri"/>
          <w:sz w:val="22"/>
        </w:rPr>
      </w:pPr>
    </w:p>
    <w:p w14:paraId="3E306B99" w14:textId="77777777" w:rsidR="00A56EB0" w:rsidRDefault="00A56EB0" w:rsidP="00A56EB0">
      <w:pPr>
        <w:ind w:left="78"/>
        <w:jc w:val="both"/>
        <w:rPr>
          <w:rFonts w:ascii="DecimaWE Rg" w:hAnsi="DecimaWE Rg" w:cs="Calibri"/>
          <w:sz w:val="22"/>
        </w:rPr>
      </w:pPr>
    </w:p>
    <w:p w14:paraId="629CA00D" w14:textId="77777777" w:rsidR="00F80008" w:rsidRDefault="00F80008" w:rsidP="00A56EB0">
      <w:pPr>
        <w:ind w:left="78"/>
        <w:jc w:val="both"/>
        <w:rPr>
          <w:rFonts w:ascii="DecimaWE Rg" w:hAnsi="DecimaWE Rg" w:cs="Calibri"/>
          <w:sz w:val="22"/>
        </w:rPr>
      </w:pPr>
    </w:p>
    <w:p w14:paraId="2DB4F9E6" w14:textId="77777777" w:rsidR="00F80008" w:rsidRDefault="00F80008" w:rsidP="00A56EB0">
      <w:pPr>
        <w:ind w:left="78"/>
        <w:jc w:val="both"/>
        <w:rPr>
          <w:rFonts w:ascii="DecimaWE Rg" w:hAnsi="DecimaWE Rg" w:cs="Calibri"/>
          <w:sz w:val="22"/>
        </w:rPr>
      </w:pPr>
    </w:p>
    <w:p w14:paraId="12E3CAF8" w14:textId="77777777" w:rsidR="00F80008" w:rsidRDefault="00F80008" w:rsidP="00A56EB0">
      <w:pPr>
        <w:ind w:left="78"/>
        <w:jc w:val="both"/>
        <w:rPr>
          <w:rFonts w:ascii="DecimaWE Rg" w:hAnsi="DecimaWE Rg" w:cs="Calibri"/>
          <w:sz w:val="22"/>
        </w:rPr>
      </w:pPr>
    </w:p>
    <w:p w14:paraId="47EE3A79" w14:textId="77777777" w:rsidR="00F80008" w:rsidRDefault="00F80008" w:rsidP="00A56EB0">
      <w:pPr>
        <w:ind w:left="78"/>
        <w:jc w:val="both"/>
        <w:rPr>
          <w:rFonts w:ascii="DecimaWE Rg" w:hAnsi="DecimaWE Rg" w:cs="Calibri"/>
          <w:sz w:val="22"/>
        </w:rPr>
      </w:pPr>
    </w:p>
    <w:p w14:paraId="19461E82" w14:textId="77777777" w:rsidR="00F80008" w:rsidRDefault="00F80008" w:rsidP="00A56EB0">
      <w:pPr>
        <w:ind w:left="78"/>
        <w:jc w:val="both"/>
        <w:rPr>
          <w:rFonts w:ascii="DecimaWE Rg" w:hAnsi="DecimaWE Rg" w:cs="Calibri"/>
          <w:sz w:val="22"/>
        </w:rPr>
      </w:pPr>
    </w:p>
    <w:p w14:paraId="320D1FF1" w14:textId="77777777" w:rsidR="00F80008" w:rsidRDefault="00F80008" w:rsidP="00A56EB0">
      <w:pPr>
        <w:ind w:left="78"/>
        <w:jc w:val="both"/>
        <w:rPr>
          <w:rFonts w:ascii="DecimaWE Rg" w:hAnsi="DecimaWE Rg" w:cs="Calibri"/>
          <w:sz w:val="22"/>
        </w:rPr>
      </w:pPr>
    </w:p>
    <w:p w14:paraId="3C8F3BAA" w14:textId="77777777" w:rsidR="00F80008" w:rsidRDefault="00F80008" w:rsidP="00A56EB0">
      <w:pPr>
        <w:ind w:left="78"/>
        <w:jc w:val="both"/>
        <w:rPr>
          <w:rFonts w:ascii="DecimaWE Rg" w:hAnsi="DecimaWE Rg" w:cs="Calibri"/>
          <w:sz w:val="22"/>
        </w:rPr>
      </w:pPr>
    </w:p>
    <w:p w14:paraId="5DF0BDCD" w14:textId="77777777" w:rsidR="00351500" w:rsidRDefault="00351500" w:rsidP="00A56EB0">
      <w:pPr>
        <w:ind w:left="78"/>
        <w:jc w:val="both"/>
        <w:rPr>
          <w:rFonts w:ascii="DecimaWE Rg" w:hAnsi="DecimaWE Rg" w:cs="Calibri"/>
          <w:sz w:val="22"/>
        </w:rPr>
      </w:pPr>
    </w:p>
    <w:p w14:paraId="77AE4187" w14:textId="77777777" w:rsidR="00351500" w:rsidRDefault="00351500" w:rsidP="00A56EB0">
      <w:pPr>
        <w:ind w:left="78"/>
        <w:jc w:val="both"/>
        <w:rPr>
          <w:rFonts w:ascii="DecimaWE Rg" w:hAnsi="DecimaWE Rg" w:cs="Calibri"/>
          <w:sz w:val="22"/>
        </w:rPr>
      </w:pPr>
    </w:p>
    <w:p w14:paraId="7314D2FF" w14:textId="77777777" w:rsidR="00351500" w:rsidRDefault="00351500" w:rsidP="00A56EB0">
      <w:pPr>
        <w:ind w:left="78"/>
        <w:jc w:val="both"/>
        <w:rPr>
          <w:rFonts w:ascii="DecimaWE Rg" w:hAnsi="DecimaWE Rg" w:cs="Calibri"/>
          <w:sz w:val="22"/>
        </w:rPr>
      </w:pPr>
    </w:p>
    <w:p w14:paraId="00EF83B1" w14:textId="77777777" w:rsidR="00351500" w:rsidRDefault="00351500" w:rsidP="00A56EB0">
      <w:pPr>
        <w:ind w:left="78"/>
        <w:jc w:val="both"/>
        <w:rPr>
          <w:rFonts w:ascii="DecimaWE Rg" w:hAnsi="DecimaWE Rg" w:cs="Calibri"/>
          <w:sz w:val="22"/>
        </w:rPr>
      </w:pPr>
    </w:p>
    <w:p w14:paraId="7A50F855" w14:textId="0EFBD7D5" w:rsidR="006A180D" w:rsidRDefault="006A180D" w:rsidP="0055619D">
      <w:pPr>
        <w:spacing w:before="240" w:after="240"/>
        <w:rPr>
          <w:rFonts w:ascii="DecimaWE Rg" w:hAnsi="DecimaWE Rg"/>
          <w:b/>
          <w:noProof/>
        </w:rPr>
      </w:pPr>
    </w:p>
    <w:p w14:paraId="6E93C458" w14:textId="35E04620" w:rsidR="002B3B24" w:rsidRDefault="002B3B24" w:rsidP="0055619D">
      <w:pPr>
        <w:spacing w:before="240" w:after="240"/>
        <w:rPr>
          <w:rFonts w:ascii="DecimaWE Rg" w:hAnsi="DecimaWE Rg"/>
          <w:b/>
          <w:noProof/>
        </w:rPr>
      </w:pPr>
    </w:p>
    <w:p w14:paraId="77EF11AA" w14:textId="29859102" w:rsidR="002B3B24" w:rsidRDefault="002B3B24" w:rsidP="0055619D">
      <w:pPr>
        <w:spacing w:before="240" w:after="240"/>
        <w:rPr>
          <w:rFonts w:ascii="DecimaWE Rg" w:hAnsi="DecimaWE Rg"/>
          <w:b/>
          <w:noProof/>
        </w:rPr>
      </w:pPr>
    </w:p>
    <w:p w14:paraId="0418C316" w14:textId="77777777" w:rsidR="002B3B24" w:rsidRDefault="002B3B24" w:rsidP="0055619D">
      <w:pPr>
        <w:spacing w:before="240" w:after="240"/>
        <w:rPr>
          <w:rFonts w:ascii="DecimaWE Rg" w:hAnsi="DecimaWE Rg"/>
          <w:b/>
          <w:noProof/>
        </w:rPr>
      </w:pPr>
    </w:p>
    <w:p w14:paraId="69F74FA9" w14:textId="77777777" w:rsidR="002164EB" w:rsidRDefault="002164EB" w:rsidP="0055619D">
      <w:pPr>
        <w:spacing w:before="240" w:after="240"/>
        <w:rPr>
          <w:rFonts w:ascii="DecimaWE Rg" w:hAnsi="DecimaWE Rg"/>
          <w:b/>
          <w:noProof/>
        </w:rPr>
      </w:pPr>
    </w:p>
    <w:p w14:paraId="000238BD" w14:textId="77777777" w:rsidR="003F36ED" w:rsidRDefault="003F36ED" w:rsidP="003F36ED">
      <w:pPr>
        <w:pStyle w:val="NormaleWeb"/>
        <w:spacing w:before="0" w:beforeAutospacing="0" w:after="0" w:afterAutospacing="0"/>
        <w:jc w:val="center"/>
        <w:rPr>
          <w:rFonts w:ascii="DecimaWE Rg" w:eastAsiaTheme="minorEastAsia" w:hAnsi="DecimaWE Rg" w:cstheme="minorBidi"/>
          <w:b/>
          <w:bCs/>
          <w:color w:val="000000" w:themeColor="text1"/>
          <w:kern w:val="24"/>
        </w:rPr>
      </w:pPr>
    </w:p>
    <w:p w14:paraId="70475717" w14:textId="77777777" w:rsidR="003F36ED" w:rsidRDefault="003F36ED" w:rsidP="003F36ED">
      <w:pPr>
        <w:pStyle w:val="NormaleWeb"/>
        <w:spacing w:before="0" w:beforeAutospacing="0" w:after="0" w:afterAutospacing="0"/>
        <w:jc w:val="center"/>
        <w:rPr>
          <w:rFonts w:ascii="DecimaWE Rg" w:eastAsiaTheme="minorEastAsia" w:hAnsi="DecimaWE Rg" w:cstheme="minorBidi"/>
          <w:b/>
          <w:bCs/>
          <w:color w:val="000000" w:themeColor="text1"/>
          <w:kern w:val="24"/>
        </w:rPr>
      </w:pPr>
      <w:r>
        <w:rPr>
          <w:rFonts w:ascii="DecimaWE Rg" w:eastAsiaTheme="minorEastAsia" w:hAnsi="DecimaWE Rg" w:cstheme="minorBidi"/>
          <w:b/>
          <w:bCs/>
          <w:color w:val="000000" w:themeColor="text1"/>
          <w:kern w:val="24"/>
        </w:rPr>
        <w:t>CASI CLINICI VACCINOVIGILANZA</w:t>
      </w:r>
    </w:p>
    <w:p w14:paraId="7BE5028B" w14:textId="77777777" w:rsidR="003F36ED" w:rsidRDefault="003F36ED" w:rsidP="003F36ED">
      <w:pPr>
        <w:pStyle w:val="NormaleWeb"/>
        <w:spacing w:before="0" w:beforeAutospacing="0" w:after="0" w:afterAutospacing="0"/>
        <w:jc w:val="both"/>
        <w:rPr>
          <w:rFonts w:ascii="DecimaWE Rg" w:eastAsiaTheme="minorEastAsia" w:hAnsi="DecimaWE Rg" w:cstheme="minorBidi"/>
          <w:b/>
          <w:bCs/>
          <w:color w:val="000000" w:themeColor="text1"/>
          <w:kern w:val="24"/>
        </w:rPr>
      </w:pPr>
    </w:p>
    <w:p w14:paraId="1B9F7992" w14:textId="77777777" w:rsidR="003F36ED" w:rsidRPr="00F80008" w:rsidRDefault="003F36ED" w:rsidP="003F36ED">
      <w:pPr>
        <w:jc w:val="both"/>
        <w:rPr>
          <w:rFonts w:ascii="DecimaWE Rg" w:hAnsi="DecimaWE Rg" w:cs="Calibri"/>
          <w:b/>
          <w:sz w:val="22"/>
          <w:u w:val="single"/>
        </w:rPr>
      </w:pPr>
      <w:r>
        <w:rPr>
          <w:rFonts w:ascii="DecimaWE Rg" w:hAnsi="DecimaWE Rg" w:cs="Calibri"/>
          <w:b/>
          <w:sz w:val="22"/>
          <w:u w:val="single"/>
        </w:rPr>
        <w:t>Caso A</w:t>
      </w:r>
    </w:p>
    <w:p w14:paraId="50079F3E" w14:textId="77777777" w:rsidR="003F36ED" w:rsidRDefault="003F36ED" w:rsidP="003F36ED">
      <w:pPr>
        <w:pStyle w:val="NormaleWeb"/>
        <w:spacing w:before="0" w:beforeAutospacing="0" w:after="0" w:afterAutospacing="0"/>
        <w:jc w:val="both"/>
        <w:rPr>
          <w:rFonts w:ascii="DecimaWE Rg" w:eastAsiaTheme="minorEastAsia" w:hAnsi="DecimaWE Rg" w:cstheme="minorBidi"/>
          <w:color w:val="000000" w:themeColor="text1"/>
          <w:kern w:val="24"/>
          <w:sz w:val="22"/>
        </w:rPr>
      </w:pP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Il paziente P.G. maschio, </w:t>
      </w:r>
      <w:r w:rsidRPr="00C82F4C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nat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o</w:t>
      </w:r>
      <w:r w:rsidRPr="00C82F4C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 a termine con parto naturale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 </w:t>
      </w: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il 13/11/2023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, in b</w:t>
      </w:r>
      <w:r w:rsidRPr="00C82F4C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uone condizioni generali di salute (come evidenziato dal bilancio di crescita effettuato dal pediatra 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il </w:t>
      </w:r>
      <w:r w:rsidRPr="00C82F4C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20/12/2023)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 ha ricevuto </w:t>
      </w: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in data 15/01/2024 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- ore 10:15 immunizzazione </w:t>
      </w: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primaria 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contro </w:t>
      </w:r>
      <w:r w:rsidRPr="00CE1DA7">
        <w:rPr>
          <w:rFonts w:ascii="DecimaWE Rg" w:eastAsiaTheme="minorEastAsia" w:hAnsi="DecimaWE Rg" w:cstheme="minorBidi"/>
          <w:i/>
          <w:iCs/>
          <w:color w:val="000000" w:themeColor="text1"/>
          <w:kern w:val="24"/>
          <w:sz w:val="22"/>
        </w:rPr>
        <w:t xml:space="preserve">difterite, tetano, pertosse, epatite B, poliomielite e </w:t>
      </w:r>
      <w:proofErr w:type="spellStart"/>
      <w:r w:rsidRPr="00CE1DA7">
        <w:rPr>
          <w:rFonts w:ascii="DecimaWE Rg" w:eastAsiaTheme="minorEastAsia" w:hAnsi="DecimaWE Rg" w:cstheme="minorBidi"/>
          <w:i/>
          <w:iCs/>
          <w:color w:val="000000" w:themeColor="text1"/>
          <w:kern w:val="24"/>
          <w:sz w:val="22"/>
        </w:rPr>
        <w:t>Haemophilus</w:t>
      </w:r>
      <w:proofErr w:type="spellEnd"/>
      <w:r w:rsidRPr="00CE1DA7">
        <w:rPr>
          <w:rFonts w:ascii="DecimaWE Rg" w:eastAsiaTheme="minorEastAsia" w:hAnsi="DecimaWE Rg" w:cstheme="minorBidi"/>
          <w:i/>
          <w:iCs/>
          <w:color w:val="000000" w:themeColor="text1"/>
          <w:kern w:val="24"/>
          <w:sz w:val="22"/>
        </w:rPr>
        <w:t xml:space="preserve"> </w:t>
      </w:r>
      <w:proofErr w:type="spellStart"/>
      <w:r w:rsidRPr="00CE1DA7">
        <w:rPr>
          <w:rFonts w:ascii="DecimaWE Rg" w:eastAsiaTheme="minorEastAsia" w:hAnsi="DecimaWE Rg" w:cstheme="minorBidi"/>
          <w:i/>
          <w:iCs/>
          <w:color w:val="000000" w:themeColor="text1"/>
          <w:kern w:val="24"/>
          <w:sz w:val="22"/>
        </w:rPr>
        <w:t>influenzae</w:t>
      </w:r>
      <w:proofErr w:type="spellEnd"/>
      <w:r w:rsidRPr="00CE1DA7">
        <w:rPr>
          <w:rFonts w:ascii="DecimaWE Rg" w:eastAsiaTheme="minorEastAsia" w:hAnsi="DecimaWE Rg" w:cstheme="minorBidi"/>
          <w:i/>
          <w:iCs/>
          <w:color w:val="000000" w:themeColor="text1"/>
          <w:kern w:val="24"/>
          <w:sz w:val="22"/>
        </w:rPr>
        <w:t xml:space="preserve"> tipo b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 tramite somministrazione del vaccino esavalente INFANRIX</w:t>
      </w: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 HEXA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 </w:t>
      </w:r>
      <w:r w:rsidRPr="0025065F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(lotto A21CE287A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) in regione </w:t>
      </w:r>
      <w:r w:rsidRPr="00C53EA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anterolaterale della coscia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 destra.</w:t>
      </w:r>
    </w:p>
    <w:p w14:paraId="4F74F91F" w14:textId="77777777" w:rsidR="003F36ED" w:rsidRDefault="003F36ED" w:rsidP="003F36ED">
      <w:pPr>
        <w:pStyle w:val="NormaleWeb"/>
        <w:spacing w:before="0" w:beforeAutospacing="0" w:after="0" w:afterAutospacing="0"/>
        <w:jc w:val="both"/>
        <w:rPr>
          <w:rFonts w:ascii="DecimaWE Rg" w:eastAsiaTheme="minorEastAsia" w:hAnsi="DecimaWE Rg" w:cstheme="minorBidi"/>
          <w:color w:val="000000" w:themeColor="text1"/>
          <w:kern w:val="24"/>
          <w:sz w:val="22"/>
        </w:rPr>
      </w:pP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Nella stessa seduta, come previsto dal calendario vaccinale regionale è stato somministrato il vaccino PREVENAR</w:t>
      </w:r>
      <w:r w:rsidRPr="00CE1DA7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13 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(</w:t>
      </w:r>
      <w:r w:rsidRPr="0025065F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lotto DR0566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) </w:t>
      </w:r>
      <w:r w:rsidRPr="00CE1DA7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contro 13 tipi di batterio </w:t>
      </w:r>
      <w:proofErr w:type="spellStart"/>
      <w:r w:rsidRPr="00F07D3C">
        <w:rPr>
          <w:rFonts w:ascii="DecimaWE Rg" w:eastAsiaTheme="minorEastAsia" w:hAnsi="DecimaWE Rg" w:cstheme="minorBidi"/>
          <w:i/>
          <w:iCs/>
          <w:color w:val="000000" w:themeColor="text1"/>
          <w:kern w:val="24"/>
          <w:sz w:val="22"/>
        </w:rPr>
        <w:t>Streptococcus</w:t>
      </w:r>
      <w:proofErr w:type="spellEnd"/>
      <w:r w:rsidRPr="00F07D3C">
        <w:rPr>
          <w:rFonts w:ascii="DecimaWE Rg" w:eastAsiaTheme="minorEastAsia" w:hAnsi="DecimaWE Rg" w:cstheme="minorBidi"/>
          <w:i/>
          <w:iCs/>
          <w:color w:val="000000" w:themeColor="text1"/>
          <w:kern w:val="24"/>
          <w:sz w:val="22"/>
        </w:rPr>
        <w:t> </w:t>
      </w:r>
      <w:proofErr w:type="spellStart"/>
      <w:r w:rsidRPr="00F07D3C">
        <w:rPr>
          <w:rFonts w:ascii="DecimaWE Rg" w:eastAsiaTheme="minorEastAsia" w:hAnsi="DecimaWE Rg" w:cstheme="minorBidi"/>
          <w:i/>
          <w:iCs/>
          <w:color w:val="000000" w:themeColor="text1"/>
          <w:kern w:val="24"/>
          <w:sz w:val="22"/>
        </w:rPr>
        <w:t>pneumoniae</w:t>
      </w:r>
      <w:proofErr w:type="spellEnd"/>
      <w:r>
        <w:rPr>
          <w:rFonts w:ascii="DecimaWE Rg" w:eastAsiaTheme="minorEastAsia" w:hAnsi="DecimaWE Rg" w:cstheme="minorBidi"/>
          <w:i/>
          <w:iCs/>
          <w:color w:val="000000" w:themeColor="text1"/>
          <w:kern w:val="24"/>
          <w:sz w:val="22"/>
        </w:rPr>
        <w:t>,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 alla coscia sinistra.</w:t>
      </w:r>
    </w:p>
    <w:p w14:paraId="5585EDCE" w14:textId="77777777" w:rsidR="003F36ED" w:rsidRPr="00F07D3C" w:rsidRDefault="003F36ED" w:rsidP="003F36ED">
      <w:pPr>
        <w:pStyle w:val="NormaleWeb"/>
        <w:spacing w:before="0" w:beforeAutospacing="0" w:after="0" w:afterAutospacing="0"/>
        <w:jc w:val="both"/>
        <w:rPr>
          <w:rFonts w:ascii="DecimaWE Rg" w:eastAsiaTheme="minorEastAsia" w:hAnsi="DecimaWE Rg" w:cstheme="minorBidi"/>
          <w:color w:val="000000" w:themeColor="text1"/>
          <w:kern w:val="24"/>
          <w:sz w:val="12"/>
          <w:szCs w:val="12"/>
        </w:rPr>
      </w:pPr>
    </w:p>
    <w:p w14:paraId="0E00E5FC" w14:textId="77777777" w:rsidR="003F36ED" w:rsidRDefault="003F36ED" w:rsidP="003F36ED">
      <w:pPr>
        <w:pStyle w:val="NormaleWeb"/>
        <w:spacing w:before="0" w:beforeAutospacing="0" w:after="0" w:afterAutospacing="0"/>
        <w:jc w:val="both"/>
        <w:rPr>
          <w:rFonts w:ascii="DecimaWE Rg" w:eastAsiaTheme="minorEastAsia" w:hAnsi="DecimaWE Rg" w:cstheme="minorBidi"/>
          <w:color w:val="000000" w:themeColor="text1"/>
          <w:kern w:val="24"/>
          <w:sz w:val="22"/>
        </w:rPr>
      </w:pP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Nell'immediato pomeriggio 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il lattante </w:t>
      </w: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ha manifestato </w:t>
      </w:r>
      <w:r w:rsidRPr="00797512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nervosismo</w:t>
      </w: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, </w:t>
      </w:r>
      <w:r w:rsidRPr="00797512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rifiuto ad alimentarsi</w:t>
      </w: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, </w:t>
      </w:r>
      <w:r w:rsidRPr="00797512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pianto inconsolabile</w:t>
      </w:r>
      <w:r w:rsidRPr="00B14083">
        <w:rPr>
          <w:rFonts w:ascii="DecimaWE Rg" w:eastAsiaTheme="minorEastAsia" w:hAnsi="DecimaWE Rg" w:cstheme="minorBidi"/>
          <w:b/>
          <w:bCs/>
          <w:color w:val="000000" w:themeColor="text1"/>
          <w:kern w:val="24"/>
          <w:sz w:val="22"/>
        </w:rPr>
        <w:t xml:space="preserve"> </w:t>
      </w: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per tre ore. 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In serata, a</w:t>
      </w: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lla rilevazione della temperatura corporea, è stata riscontrata 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iper</w:t>
      </w:r>
      <w:r w:rsidRPr="00797512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piressia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 pari a </w:t>
      </w: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39,5°C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, salita a 40°C a una seconda misurazione. La madre ha somministrato </w:t>
      </w: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Tachipirina gocce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, come da indicazione del centro vaccinale.</w:t>
      </w:r>
    </w:p>
    <w:p w14:paraId="5383A879" w14:textId="77777777" w:rsidR="003F36ED" w:rsidRPr="00F07D3C" w:rsidRDefault="003F36ED" w:rsidP="003F36ED">
      <w:pPr>
        <w:pStyle w:val="NormaleWeb"/>
        <w:spacing w:before="0" w:beforeAutospacing="0" w:after="0" w:afterAutospacing="0"/>
        <w:jc w:val="both"/>
        <w:rPr>
          <w:rFonts w:ascii="DecimaWE Rg" w:eastAsiaTheme="minorEastAsia" w:hAnsi="DecimaWE Rg" w:cstheme="minorBidi"/>
          <w:color w:val="000000" w:themeColor="text1"/>
          <w:kern w:val="24"/>
          <w:sz w:val="12"/>
          <w:szCs w:val="12"/>
        </w:rPr>
      </w:pPr>
    </w:p>
    <w:p w14:paraId="7CE2FF12" w14:textId="77777777" w:rsidR="003F36ED" w:rsidRDefault="003F36ED" w:rsidP="003F36ED">
      <w:pPr>
        <w:pStyle w:val="NormaleWeb"/>
        <w:spacing w:before="0" w:beforeAutospacing="0" w:after="0" w:afterAutospacing="0"/>
        <w:jc w:val="both"/>
        <w:rPr>
          <w:rFonts w:ascii="DecimaWE Rg" w:eastAsiaTheme="minorEastAsia" w:hAnsi="DecimaWE Rg" w:cstheme="minorBidi"/>
          <w:color w:val="000000" w:themeColor="text1"/>
          <w:kern w:val="24"/>
          <w:sz w:val="22"/>
        </w:rPr>
      </w:pP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Successivamente è comparsa convulsione febbrile della durata di </w:t>
      </w:r>
      <w:r w:rsidRPr="00C53EA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pochi minuti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 caratterizzata da </w:t>
      </w:r>
      <w:r w:rsidRPr="00797512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movimenti 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tonico-clonici, </w:t>
      </w:r>
      <w:r w:rsidRPr="00C53EA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perdita di coscienza 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e </w:t>
      </w:r>
      <w:r w:rsidRPr="00C53EA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rotazione degli occhi verso l’alto. Al termine 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dell’episodio convulsivo </w:t>
      </w:r>
      <w:r w:rsidRPr="00C53EA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si 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è </w:t>
      </w:r>
      <w:r w:rsidRPr="00C53EA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verifica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to</w:t>
      </w:r>
      <w:r w:rsidRPr="00C53EA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 un periodo di sonnolenza e debolezza muscolare del piccolo, cui 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è seguita </w:t>
      </w:r>
      <w:r w:rsidRPr="00C53EA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una graduale ripresa.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 </w:t>
      </w:r>
    </w:p>
    <w:p w14:paraId="2B6062EE" w14:textId="77777777" w:rsidR="003F36ED" w:rsidRPr="008452A2" w:rsidRDefault="003F36ED" w:rsidP="003F36ED">
      <w:pPr>
        <w:pStyle w:val="NormaleWeb"/>
        <w:spacing w:before="0" w:beforeAutospacing="0" w:after="0" w:afterAutospacing="0"/>
        <w:jc w:val="both"/>
        <w:rPr>
          <w:rFonts w:ascii="DecimaWE Rg" w:eastAsiaTheme="minorEastAsia" w:hAnsi="DecimaWE Rg" w:cstheme="minorBidi"/>
          <w:color w:val="000000" w:themeColor="text1"/>
          <w:kern w:val="24"/>
          <w:sz w:val="12"/>
          <w:szCs w:val="12"/>
        </w:rPr>
      </w:pPr>
    </w:p>
    <w:p w14:paraId="2BC01503" w14:textId="77777777" w:rsidR="003F36ED" w:rsidRDefault="003F36ED" w:rsidP="003F36ED">
      <w:pPr>
        <w:pStyle w:val="NormaleWeb"/>
        <w:spacing w:before="0" w:beforeAutospacing="0" w:after="0" w:afterAutospacing="0"/>
        <w:jc w:val="both"/>
        <w:rPr>
          <w:rFonts w:ascii="DecimaWE Rg" w:eastAsiaTheme="minorEastAsia" w:hAnsi="DecimaWE Rg" w:cstheme="minorBidi"/>
          <w:color w:val="000000" w:themeColor="text1"/>
          <w:kern w:val="24"/>
          <w:sz w:val="22"/>
        </w:rPr>
      </w:pP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I genitori hanno condotto il </w:t>
      </w:r>
      <w:r w:rsidRPr="0057592F">
        <w:rPr>
          <w:rFonts w:ascii="DecimaWE Rg" w:eastAsiaTheme="minorEastAsia" w:hAnsi="DecimaWE Rg" w:cstheme="minorBidi"/>
          <w:color w:val="000000" w:themeColor="text1"/>
          <w:kern w:val="24"/>
          <w:sz w:val="22"/>
          <w:szCs w:val="22"/>
        </w:rPr>
        <w:t>bambino in PS dove, a seguito di esame obiettivo al quale è apparso vigile, eupnoico con attività cardiaca regolare e temperatura corporea di 36,7°C, è stato tenuto in osservazione per le successive 24 ore, durante le quali non si sono manifestati altri episodi convulsivi ed è risultato negativo agli esami infettivologici effettuati. È quindi stato dimesso con le indicazioni terapeutiche per la famiglia da intraprendere al domicilio in caso di bisogno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. </w:t>
      </w:r>
    </w:p>
    <w:p w14:paraId="02F2D1AF" w14:textId="77777777" w:rsidR="003F36ED" w:rsidRPr="001B647E" w:rsidRDefault="003F36ED" w:rsidP="003F36ED">
      <w:pPr>
        <w:pStyle w:val="NormaleWeb"/>
        <w:spacing w:before="0" w:beforeAutospacing="0" w:after="0" w:afterAutospacing="0"/>
        <w:jc w:val="both"/>
        <w:rPr>
          <w:rFonts w:ascii="DecimaWE Rg" w:eastAsiaTheme="minorEastAsia" w:hAnsi="DecimaWE Rg" w:cstheme="minorBidi"/>
          <w:color w:val="000000" w:themeColor="text1"/>
          <w:kern w:val="24"/>
          <w:sz w:val="12"/>
          <w:szCs w:val="12"/>
        </w:rPr>
      </w:pPr>
    </w:p>
    <w:p w14:paraId="3862E5E4" w14:textId="77777777" w:rsidR="003F36ED" w:rsidRPr="00F07D3C" w:rsidRDefault="003F36ED" w:rsidP="003F36ED">
      <w:pPr>
        <w:pStyle w:val="NormaleWeb"/>
        <w:spacing w:before="0" w:beforeAutospacing="0" w:after="0" w:afterAutospacing="0"/>
        <w:jc w:val="both"/>
        <w:rPr>
          <w:rFonts w:ascii="DecimaWE Rg" w:eastAsiaTheme="minorEastAsia" w:hAnsi="DecimaWE Rg" w:cstheme="minorBidi"/>
          <w:color w:val="000000" w:themeColor="text1"/>
          <w:kern w:val="24"/>
          <w:sz w:val="22"/>
        </w:rPr>
      </w:pP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Il giorno 18</w:t>
      </w:r>
      <w:r w:rsidRPr="00F07D3C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/01/2024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 è stato eseguito il controllo pediatrico ambulatoriale con contestuale valutazione neurologica</w:t>
      </w:r>
      <w:r w:rsidRPr="00F07D3C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: l’EEG 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non ha evidenziato anomalie nel tracciato e dal colloquio con la madre è emersa anamnesi familiare positiva della stessa </w:t>
      </w:r>
      <w:r w:rsidRPr="005A683D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in età pediatrica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 per </w:t>
      </w:r>
      <w:r w:rsidRPr="005A683D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episodi analoghi durante la febbre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.</w:t>
      </w:r>
    </w:p>
    <w:p w14:paraId="451A21F7" w14:textId="77777777" w:rsidR="003F36ED" w:rsidRDefault="003F36ED" w:rsidP="003F36ED">
      <w:pPr>
        <w:pStyle w:val="NormaleWeb"/>
        <w:spacing w:before="0" w:beforeAutospacing="0" w:after="0" w:afterAutospacing="0"/>
        <w:jc w:val="both"/>
        <w:rPr>
          <w:rFonts w:ascii="DecimaWE Rg" w:eastAsiaTheme="minorEastAsia" w:hAnsi="DecimaWE Rg" w:cstheme="minorBidi"/>
          <w:color w:val="000000" w:themeColor="text1"/>
          <w:kern w:val="24"/>
          <w:sz w:val="22"/>
        </w:rPr>
      </w:pPr>
    </w:p>
    <w:p w14:paraId="1695CBD0" w14:textId="77777777" w:rsidR="003F36ED" w:rsidRDefault="003F36ED" w:rsidP="003F36ED">
      <w:pPr>
        <w:pStyle w:val="NormaleWeb"/>
        <w:spacing w:before="0" w:beforeAutospacing="0" w:after="0" w:afterAutospacing="0"/>
        <w:jc w:val="both"/>
        <w:rPr>
          <w:rFonts w:ascii="DecimaWE Rg" w:eastAsiaTheme="minorEastAsia" w:hAnsi="DecimaWE Rg" w:cstheme="minorBidi"/>
          <w:color w:val="000000" w:themeColor="text1"/>
          <w:kern w:val="24"/>
          <w:sz w:val="22"/>
        </w:rPr>
      </w:pPr>
    </w:p>
    <w:p w14:paraId="0BB89E31" w14:textId="77777777" w:rsidR="003F36ED" w:rsidRPr="00F80008" w:rsidRDefault="003F36ED" w:rsidP="003F36ED">
      <w:pPr>
        <w:pStyle w:val="NormaleWeb"/>
        <w:spacing w:before="0" w:beforeAutospacing="0" w:after="0" w:afterAutospacing="0"/>
        <w:jc w:val="both"/>
        <w:rPr>
          <w:rFonts w:ascii="DecimaWE Rg" w:eastAsiaTheme="minorEastAsia" w:hAnsi="DecimaWE Rg" w:cstheme="minorBidi"/>
          <w:b/>
          <w:bCs/>
          <w:color w:val="000000" w:themeColor="text1"/>
          <w:kern w:val="24"/>
          <w:u w:val="single"/>
        </w:rPr>
      </w:pPr>
      <w:r w:rsidRPr="00F80008">
        <w:rPr>
          <w:rFonts w:ascii="DecimaWE Rg" w:eastAsiaTheme="minorEastAsia" w:hAnsi="DecimaWE Rg" w:cstheme="minorBidi"/>
          <w:b/>
          <w:bCs/>
          <w:color w:val="000000" w:themeColor="text1"/>
          <w:kern w:val="24"/>
          <w:u w:val="single"/>
        </w:rPr>
        <w:t xml:space="preserve">Caso </w:t>
      </w:r>
      <w:r>
        <w:rPr>
          <w:rFonts w:ascii="DecimaWE Rg" w:eastAsiaTheme="minorEastAsia" w:hAnsi="DecimaWE Rg" w:cstheme="minorBidi"/>
          <w:b/>
          <w:bCs/>
          <w:color w:val="000000" w:themeColor="text1"/>
          <w:kern w:val="24"/>
          <w:u w:val="single"/>
        </w:rPr>
        <w:t>B</w:t>
      </w:r>
    </w:p>
    <w:p w14:paraId="4499770C" w14:textId="77777777" w:rsidR="003F36ED" w:rsidRPr="007D7CE3" w:rsidRDefault="003F36ED" w:rsidP="003F36ED">
      <w:pPr>
        <w:pStyle w:val="NormaleWeb"/>
        <w:spacing w:before="0" w:beforeAutospacing="0" w:after="0" w:afterAutospacing="0"/>
        <w:jc w:val="both"/>
        <w:rPr>
          <w:rFonts w:ascii="DecimaWE Rg" w:eastAsiaTheme="minorEastAsia" w:hAnsi="DecimaWE Rg" w:cstheme="minorBidi"/>
          <w:i/>
          <w:iCs/>
          <w:color w:val="000000" w:themeColor="text1"/>
          <w:kern w:val="24"/>
          <w:sz w:val="22"/>
        </w:rPr>
      </w:pP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La paziente L.F.</w:t>
      </w: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 nata 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il</w:t>
      </w: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 09/11/2022 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ha ricevuto in data 19/04/2024 - ore 11:15 somministrazione della 3^ dose del vaccino BEXERO </w:t>
      </w:r>
      <w:r w:rsidRPr="007D7CE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(lotto ABXD79AA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) </w:t>
      </w:r>
      <w:r w:rsidRPr="007D7CE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contro la malattia meningococcica causata da </w:t>
      </w:r>
      <w:r w:rsidRPr="007D7CE3">
        <w:rPr>
          <w:rFonts w:ascii="DecimaWE Rg" w:eastAsiaTheme="minorEastAsia" w:hAnsi="DecimaWE Rg" w:cstheme="minorBidi"/>
          <w:i/>
          <w:iCs/>
          <w:color w:val="000000" w:themeColor="text1"/>
          <w:kern w:val="24"/>
          <w:sz w:val="22"/>
        </w:rPr>
        <w:t xml:space="preserve">Neisseria </w:t>
      </w:r>
      <w:proofErr w:type="spellStart"/>
      <w:r w:rsidRPr="007D7CE3">
        <w:rPr>
          <w:rFonts w:ascii="DecimaWE Rg" w:eastAsiaTheme="minorEastAsia" w:hAnsi="DecimaWE Rg" w:cstheme="minorBidi"/>
          <w:i/>
          <w:iCs/>
          <w:color w:val="000000" w:themeColor="text1"/>
          <w:kern w:val="24"/>
          <w:sz w:val="22"/>
        </w:rPr>
        <w:t>meningitidis</w:t>
      </w:r>
      <w:proofErr w:type="spellEnd"/>
      <w:r w:rsidRPr="007D7CE3">
        <w:rPr>
          <w:rFonts w:ascii="DecimaWE Rg" w:eastAsiaTheme="minorEastAsia" w:hAnsi="DecimaWE Rg" w:cstheme="minorBidi"/>
          <w:i/>
          <w:iCs/>
          <w:color w:val="000000" w:themeColor="text1"/>
          <w:kern w:val="24"/>
          <w:sz w:val="22"/>
        </w:rPr>
        <w:t xml:space="preserve"> di gruppo B</w:t>
      </w:r>
      <w:r>
        <w:rPr>
          <w:rFonts w:ascii="DecimaWE Rg" w:eastAsiaTheme="minorEastAsia" w:hAnsi="DecimaWE Rg" w:cstheme="minorBidi"/>
          <w:i/>
          <w:iCs/>
          <w:color w:val="000000" w:themeColor="text1"/>
          <w:kern w:val="24"/>
          <w:sz w:val="22"/>
        </w:rPr>
        <w:t xml:space="preserve">, </w:t>
      </w:r>
      <w:r w:rsidRPr="007D7CE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al</w:t>
      </w:r>
      <w:r>
        <w:rPr>
          <w:rFonts w:ascii="DecimaWE Rg" w:eastAsiaTheme="minorEastAsia" w:hAnsi="DecimaWE Rg" w:cstheme="minorBidi"/>
          <w:i/>
          <w:iCs/>
          <w:color w:val="000000" w:themeColor="text1"/>
          <w:kern w:val="24"/>
          <w:sz w:val="22"/>
        </w:rPr>
        <w:t xml:space="preserve"> </w:t>
      </w:r>
      <w:r w:rsidRPr="007D7CE3">
        <w:rPr>
          <w:rFonts w:ascii="DecimaWE Rg" w:eastAsiaTheme="minorEastAsia" w:hAnsi="DecimaWE Rg"/>
          <w:kern w:val="24"/>
        </w:rPr>
        <w:t>deltoide destro</w:t>
      </w:r>
      <w:r>
        <w:rPr>
          <w:rFonts w:ascii="DecimaWE Rg" w:eastAsiaTheme="minorEastAsia" w:hAnsi="DecimaWE Rg"/>
          <w:kern w:val="24"/>
        </w:rPr>
        <w:t>.</w:t>
      </w:r>
    </w:p>
    <w:p w14:paraId="4E78D882" w14:textId="77777777" w:rsidR="003F36ED" w:rsidRPr="008452A2" w:rsidRDefault="003F36ED" w:rsidP="003F36ED">
      <w:pPr>
        <w:pStyle w:val="NormaleWeb"/>
        <w:spacing w:before="0" w:beforeAutospacing="0" w:after="0" w:afterAutospacing="0"/>
        <w:jc w:val="both"/>
        <w:rPr>
          <w:rFonts w:ascii="DecimaWE Rg" w:eastAsiaTheme="minorEastAsia" w:hAnsi="DecimaWE Rg" w:cstheme="minorBidi"/>
          <w:color w:val="000000" w:themeColor="text1"/>
          <w:kern w:val="24"/>
          <w:sz w:val="12"/>
          <w:szCs w:val="12"/>
        </w:rPr>
      </w:pPr>
    </w:p>
    <w:p w14:paraId="0D16C234" w14:textId="77777777" w:rsidR="003F36ED" w:rsidRDefault="003F36ED" w:rsidP="003F36ED">
      <w:pPr>
        <w:pStyle w:val="NormaleWeb"/>
        <w:spacing w:before="0" w:beforeAutospacing="0" w:after="0" w:afterAutospacing="0"/>
        <w:jc w:val="both"/>
        <w:rPr>
          <w:rFonts w:ascii="DecimaWE Rg" w:eastAsiaTheme="minorEastAsia" w:hAnsi="DecimaWE Rg" w:cstheme="minorBidi"/>
          <w:color w:val="000000" w:themeColor="text1"/>
          <w:kern w:val="24"/>
          <w:sz w:val="22"/>
        </w:rPr>
      </w:pP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Nel</w:t>
      </w: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 pomeriggio del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lo stesso</w:t>
      </w: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 giorno 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è iniziata una febbre intermittente </w:t>
      </w: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con punte di 38,5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 e </w:t>
      </w: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39°C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 che ha richiesto prima la somministrazione di Tachipirina sciroppo e successivamente di </w:t>
      </w:r>
      <w:proofErr w:type="spellStart"/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Nurofen</w:t>
      </w:r>
      <w:proofErr w:type="spellEnd"/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 </w:t>
      </w:r>
      <w:r w:rsidRPr="00FF13DC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Febbre e 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D</w:t>
      </w:r>
      <w:r w:rsidRPr="00FF13DC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olore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 </w:t>
      </w:r>
      <w:r w:rsidRPr="00FF13DC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sciroppo 100mg/5ml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, con risoluzione completa dei sintomi. In serata, dopo il bagnetto, la madre ha notato </w:t>
      </w: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rash cutaneo, gonfiore e 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indurimento </w:t>
      </w: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al sito di inoculazione. </w:t>
      </w:r>
    </w:p>
    <w:p w14:paraId="3D25099A" w14:textId="77777777" w:rsidR="003F36ED" w:rsidRPr="008452A2" w:rsidRDefault="003F36ED" w:rsidP="003F36ED">
      <w:pPr>
        <w:pStyle w:val="NormaleWeb"/>
        <w:spacing w:before="0" w:beforeAutospacing="0" w:after="0" w:afterAutospacing="0"/>
        <w:jc w:val="both"/>
        <w:rPr>
          <w:rFonts w:ascii="DecimaWE Rg" w:eastAsiaTheme="minorEastAsia" w:hAnsi="DecimaWE Rg" w:cstheme="minorBidi"/>
          <w:color w:val="000000" w:themeColor="text1"/>
          <w:kern w:val="24"/>
          <w:sz w:val="12"/>
          <w:szCs w:val="12"/>
        </w:rPr>
      </w:pPr>
    </w:p>
    <w:p w14:paraId="50EE2213" w14:textId="77777777" w:rsidR="003F36ED" w:rsidRDefault="003F36ED" w:rsidP="003F36ED">
      <w:pPr>
        <w:pStyle w:val="NormaleWeb"/>
        <w:spacing w:before="0" w:beforeAutospacing="0" w:after="0" w:afterAutospacing="0"/>
        <w:jc w:val="both"/>
        <w:rPr>
          <w:rFonts w:ascii="DecimaWE Rg" w:eastAsiaTheme="minorEastAsia" w:hAnsi="DecimaWE Rg" w:cstheme="minorBidi"/>
          <w:color w:val="000000" w:themeColor="text1"/>
          <w:kern w:val="24"/>
          <w:sz w:val="22"/>
        </w:rPr>
      </w:pP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Il giorno </w:t>
      </w: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2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0</w:t>
      </w: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/04/2024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 la bambina è stata valutata dalla pediatra di famiglia:</w:t>
      </w: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 il rash cutaneo era scomparso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, ma</w:t>
      </w: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 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la sede di vaccinazione risultava molto dolente, gonfia e arrossata; pertanto, è avviata </w:t>
      </w: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terapia antibiotica con </w:t>
      </w:r>
      <w:proofErr w:type="spellStart"/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Augmentin</w:t>
      </w:r>
      <w:proofErr w:type="spellEnd"/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 sospensione orale x 3 v./die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 per 5 giorni.</w:t>
      </w: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 </w:t>
      </w:r>
    </w:p>
    <w:p w14:paraId="5A9E1788" w14:textId="77777777" w:rsidR="003F36ED" w:rsidRPr="008452A2" w:rsidRDefault="003F36ED" w:rsidP="003F36ED">
      <w:pPr>
        <w:pStyle w:val="NormaleWeb"/>
        <w:spacing w:before="0" w:beforeAutospacing="0" w:after="0" w:afterAutospacing="0"/>
        <w:jc w:val="both"/>
        <w:rPr>
          <w:rFonts w:ascii="DecimaWE Rg" w:eastAsiaTheme="minorEastAsia" w:hAnsi="DecimaWE Rg" w:cstheme="minorBidi"/>
          <w:color w:val="000000" w:themeColor="text1"/>
          <w:kern w:val="24"/>
          <w:sz w:val="12"/>
          <w:szCs w:val="12"/>
        </w:rPr>
      </w:pPr>
    </w:p>
    <w:p w14:paraId="7DF99412" w14:textId="77777777" w:rsidR="003F36ED" w:rsidRDefault="003F36ED" w:rsidP="003F36ED">
      <w:pPr>
        <w:pStyle w:val="NormaleWeb"/>
        <w:spacing w:before="0" w:beforeAutospacing="0" w:after="0" w:afterAutospacing="0"/>
        <w:jc w:val="both"/>
        <w:rPr>
          <w:rFonts w:ascii="DecimaWE Rg" w:eastAsiaTheme="minorEastAsia" w:hAnsi="DecimaWE Rg" w:cstheme="minorBidi"/>
          <w:color w:val="000000" w:themeColor="text1"/>
          <w:kern w:val="24"/>
          <w:sz w:val="22"/>
        </w:rPr>
      </w:pP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Il gonfiore 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e il dolore </w:t>
      </w: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in sede di vaccinazione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,</w:t>
      </w: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 ad un mese dalla stessa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,</w:t>
      </w: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 appa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iono</w:t>
      </w: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 essersi risolt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i</w:t>
      </w: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 xml:space="preserve">, ma permane </w:t>
      </w:r>
      <w:r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l’</w:t>
      </w:r>
      <w:r w:rsidRPr="00B14083">
        <w:rPr>
          <w:rFonts w:ascii="DecimaWE Rg" w:eastAsiaTheme="minorEastAsia" w:hAnsi="DecimaWE Rg" w:cstheme="minorBidi"/>
          <w:color w:val="000000" w:themeColor="text1"/>
          <w:kern w:val="24"/>
          <w:sz w:val="22"/>
        </w:rPr>
        <w:t>indurimento sottocutaneo a livello del sito di iniezione.</w:t>
      </w:r>
    </w:p>
    <w:p w14:paraId="6AB2644F" w14:textId="77777777" w:rsidR="003F36ED" w:rsidRPr="00B14083" w:rsidRDefault="003F36ED" w:rsidP="003F36ED">
      <w:pPr>
        <w:pStyle w:val="NormaleWeb"/>
        <w:spacing w:before="0" w:beforeAutospacing="0" w:after="0" w:afterAutospacing="0"/>
        <w:jc w:val="both"/>
        <w:rPr>
          <w:rFonts w:ascii="DecimaWE Rg" w:eastAsiaTheme="minorEastAsia" w:hAnsi="DecimaWE Rg" w:cstheme="minorBidi"/>
          <w:color w:val="000000" w:themeColor="text1"/>
          <w:kern w:val="24"/>
          <w:sz w:val="22"/>
        </w:rPr>
      </w:pPr>
    </w:p>
    <w:p w14:paraId="4FC9B83F" w14:textId="4240B232" w:rsidR="002B78D8" w:rsidRDefault="002B78D8" w:rsidP="006A180D">
      <w:pPr>
        <w:spacing w:before="240" w:after="240"/>
        <w:jc w:val="center"/>
        <w:rPr>
          <w:rFonts w:ascii="DecimaWE Rg" w:hAnsi="DecimaWE Rg"/>
          <w:b/>
          <w:noProof/>
        </w:rPr>
      </w:pPr>
    </w:p>
    <w:p w14:paraId="75867C17" w14:textId="77777777" w:rsidR="003D2620" w:rsidRPr="00204F73" w:rsidRDefault="003D2620" w:rsidP="002B3B24">
      <w:pPr>
        <w:spacing w:before="240" w:after="240"/>
        <w:jc w:val="center"/>
        <w:rPr>
          <w:rFonts w:ascii="DecimaWE Rg" w:hAnsi="DecimaWE Rg"/>
          <w:b/>
          <w:noProof/>
          <w:sz w:val="32"/>
          <w:szCs w:val="32"/>
        </w:rPr>
      </w:pPr>
      <w:r w:rsidRPr="00204F73">
        <w:rPr>
          <w:rFonts w:ascii="DecimaWE Rg" w:hAnsi="DecimaWE Rg"/>
          <w:b/>
          <w:noProof/>
          <w:sz w:val="32"/>
          <w:szCs w:val="32"/>
        </w:rPr>
        <w:t>ALGORITMO OMS</w:t>
      </w:r>
    </w:p>
    <w:p w14:paraId="43536C33" w14:textId="77777777" w:rsidR="003D2620" w:rsidRPr="002B78D8" w:rsidRDefault="003D2620" w:rsidP="003D2620">
      <w:pPr>
        <w:jc w:val="both"/>
        <w:rPr>
          <w:rFonts w:ascii="DecimaWE Rg" w:eastAsiaTheme="minorEastAsia" w:hAnsi="DecimaWE Rg" w:cstheme="minorBidi"/>
          <w:color w:val="000000" w:themeColor="text1"/>
          <w:kern w:val="24"/>
          <w:sz w:val="22"/>
          <w:szCs w:val="22"/>
        </w:rPr>
      </w:pPr>
      <w:r w:rsidRPr="002B78D8">
        <w:rPr>
          <w:rFonts w:ascii="DecimaWE Rg" w:eastAsiaTheme="minorEastAsia" w:hAnsi="DecimaWE Rg" w:cstheme="minorBidi"/>
          <w:color w:val="000000" w:themeColor="text1"/>
          <w:kern w:val="24"/>
          <w:sz w:val="22"/>
          <w:szCs w:val="22"/>
        </w:rPr>
        <w:t>Questo processo di valutazione consente di valutare la probabilità che un evento avverso associato nel tempo con la vaccinazione sia legato o meno da un rapporto di causa, cioè la probabilità per cui quell’evento sia stato causato dal vaccino, e di classificarlo come:</w:t>
      </w:r>
    </w:p>
    <w:p w14:paraId="726AC574" w14:textId="77777777" w:rsidR="003D2620" w:rsidRPr="002B78D8" w:rsidRDefault="003D2620" w:rsidP="003D2620">
      <w:pPr>
        <w:numPr>
          <w:ilvl w:val="0"/>
          <w:numId w:val="14"/>
        </w:numPr>
        <w:jc w:val="both"/>
        <w:rPr>
          <w:rFonts w:ascii="DecimaWE Rg" w:eastAsiaTheme="minorEastAsia" w:hAnsi="DecimaWE Rg" w:cstheme="minorBidi"/>
          <w:color w:val="000000" w:themeColor="text1"/>
          <w:kern w:val="24"/>
          <w:sz w:val="22"/>
          <w:szCs w:val="22"/>
        </w:rPr>
      </w:pPr>
      <w:r w:rsidRPr="002B78D8">
        <w:rPr>
          <w:rFonts w:ascii="DecimaWE Rg" w:eastAsiaTheme="minorEastAsia" w:hAnsi="DecimaWE Rg" w:cstheme="minorBidi"/>
          <w:b/>
          <w:bCs/>
          <w:color w:val="000000" w:themeColor="text1"/>
          <w:kern w:val="24"/>
          <w:sz w:val="22"/>
          <w:szCs w:val="22"/>
        </w:rPr>
        <w:t>correlabile</w:t>
      </w:r>
      <w:r w:rsidRPr="002B78D8">
        <w:rPr>
          <w:rFonts w:ascii="DecimaWE Rg" w:eastAsiaTheme="minorEastAsia" w:hAnsi="DecimaWE Rg" w:cstheme="minorBidi"/>
          <w:color w:val="000000" w:themeColor="text1"/>
          <w:kern w:val="24"/>
          <w:sz w:val="22"/>
          <w:szCs w:val="22"/>
        </w:rPr>
        <w:t>: l’associazione causale fra evento e vaccino è considerata plausibile</w:t>
      </w:r>
    </w:p>
    <w:p w14:paraId="0525E6AF" w14:textId="77777777" w:rsidR="003D2620" w:rsidRPr="002B78D8" w:rsidRDefault="003D2620" w:rsidP="003D2620">
      <w:pPr>
        <w:numPr>
          <w:ilvl w:val="0"/>
          <w:numId w:val="14"/>
        </w:numPr>
        <w:jc w:val="both"/>
        <w:rPr>
          <w:rFonts w:ascii="DecimaWE Rg" w:eastAsiaTheme="minorEastAsia" w:hAnsi="DecimaWE Rg" w:cstheme="minorBidi"/>
          <w:color w:val="000000" w:themeColor="text1"/>
          <w:kern w:val="24"/>
          <w:sz w:val="22"/>
          <w:szCs w:val="22"/>
        </w:rPr>
      </w:pPr>
      <w:r w:rsidRPr="002B78D8">
        <w:rPr>
          <w:rFonts w:ascii="DecimaWE Rg" w:eastAsiaTheme="minorEastAsia" w:hAnsi="DecimaWE Rg" w:cstheme="minorBidi"/>
          <w:b/>
          <w:bCs/>
          <w:color w:val="000000" w:themeColor="text1"/>
          <w:kern w:val="24"/>
          <w:sz w:val="22"/>
          <w:szCs w:val="22"/>
        </w:rPr>
        <w:t>non correlabile</w:t>
      </w:r>
      <w:r w:rsidRPr="002B78D8">
        <w:rPr>
          <w:rFonts w:ascii="DecimaWE Rg" w:eastAsiaTheme="minorEastAsia" w:hAnsi="DecimaWE Rg" w:cstheme="minorBidi"/>
          <w:color w:val="000000" w:themeColor="text1"/>
          <w:kern w:val="24"/>
          <w:sz w:val="22"/>
          <w:szCs w:val="22"/>
        </w:rPr>
        <w:t>: altri fattori possono giustificare l’evento</w:t>
      </w:r>
    </w:p>
    <w:p w14:paraId="1A0F7EA6" w14:textId="77777777" w:rsidR="003D2620" w:rsidRPr="002B78D8" w:rsidRDefault="003D2620" w:rsidP="003D2620">
      <w:pPr>
        <w:numPr>
          <w:ilvl w:val="0"/>
          <w:numId w:val="14"/>
        </w:numPr>
        <w:jc w:val="both"/>
        <w:rPr>
          <w:rFonts w:ascii="DecimaWE Rg" w:eastAsiaTheme="minorEastAsia" w:hAnsi="DecimaWE Rg" w:cstheme="minorBidi"/>
          <w:color w:val="000000" w:themeColor="text1"/>
          <w:kern w:val="24"/>
          <w:sz w:val="22"/>
          <w:szCs w:val="22"/>
        </w:rPr>
      </w:pPr>
      <w:r w:rsidRPr="002B78D8">
        <w:rPr>
          <w:rFonts w:ascii="DecimaWE Rg" w:eastAsiaTheme="minorEastAsia" w:hAnsi="DecimaWE Rg" w:cstheme="minorBidi"/>
          <w:b/>
          <w:bCs/>
          <w:color w:val="000000" w:themeColor="text1"/>
          <w:kern w:val="24"/>
          <w:sz w:val="22"/>
          <w:szCs w:val="22"/>
        </w:rPr>
        <w:t>indeterminato</w:t>
      </w:r>
      <w:r w:rsidRPr="002B78D8">
        <w:rPr>
          <w:rFonts w:ascii="DecimaWE Rg" w:eastAsiaTheme="minorEastAsia" w:hAnsi="DecimaWE Rg" w:cstheme="minorBidi"/>
          <w:color w:val="000000" w:themeColor="text1"/>
          <w:kern w:val="24"/>
          <w:sz w:val="22"/>
          <w:szCs w:val="22"/>
        </w:rPr>
        <w:t>: l’associazione temporale è compatibile, ma le prove non sono sufficienti a supportare un nesso di causalità.</w:t>
      </w:r>
    </w:p>
    <w:p w14:paraId="5F7A6D2F" w14:textId="77777777" w:rsidR="003D2620" w:rsidRDefault="003D2620" w:rsidP="003D2620">
      <w:pPr>
        <w:jc w:val="both"/>
        <w:rPr>
          <w:rFonts w:ascii="DecimaWE Rg" w:eastAsiaTheme="minorEastAsia" w:hAnsi="DecimaWE Rg" w:cstheme="minorBidi"/>
          <w:color w:val="000000" w:themeColor="text1"/>
          <w:kern w:val="24"/>
          <w:sz w:val="22"/>
          <w:szCs w:val="22"/>
        </w:rPr>
      </w:pPr>
      <w:r w:rsidRPr="002B78D8">
        <w:rPr>
          <w:rFonts w:ascii="DecimaWE Rg" w:eastAsiaTheme="minorEastAsia" w:hAnsi="DecimaWE Rg" w:cstheme="minorBidi"/>
          <w:color w:val="000000" w:themeColor="text1"/>
          <w:kern w:val="24"/>
          <w:sz w:val="22"/>
          <w:szCs w:val="22"/>
        </w:rPr>
        <w:t xml:space="preserve">Le eventuali segnalazioni prive di informazioni sufficienti, per cui sono necessari ulteriori approfondimenti, si definiscono </w:t>
      </w:r>
      <w:r w:rsidRPr="002B78D8">
        <w:rPr>
          <w:rFonts w:ascii="DecimaWE Rg" w:eastAsiaTheme="minorEastAsia" w:hAnsi="DecimaWE Rg" w:cstheme="minorBidi"/>
          <w:b/>
          <w:bCs/>
          <w:color w:val="000000" w:themeColor="text1"/>
          <w:kern w:val="24"/>
          <w:sz w:val="22"/>
          <w:szCs w:val="22"/>
        </w:rPr>
        <w:t>non classificabili</w:t>
      </w:r>
      <w:r w:rsidRPr="002B78D8">
        <w:rPr>
          <w:rFonts w:ascii="DecimaWE Rg" w:eastAsiaTheme="minorEastAsia" w:hAnsi="DecimaWE Rg" w:cstheme="minorBidi"/>
          <w:color w:val="000000" w:themeColor="text1"/>
          <w:kern w:val="24"/>
          <w:sz w:val="22"/>
          <w:szCs w:val="22"/>
        </w:rPr>
        <w:t>.</w:t>
      </w:r>
    </w:p>
    <w:p w14:paraId="76BB9DD4" w14:textId="77777777" w:rsidR="003D2620" w:rsidRPr="0055619D" w:rsidRDefault="003D2620" w:rsidP="003D2620">
      <w:pPr>
        <w:jc w:val="both"/>
        <w:rPr>
          <w:rFonts w:ascii="DecimaWE Rg" w:eastAsiaTheme="minorEastAsia" w:hAnsi="DecimaWE Rg" w:cstheme="minorBidi"/>
          <w:color w:val="000000" w:themeColor="text1"/>
          <w:kern w:val="24"/>
          <w:sz w:val="22"/>
          <w:szCs w:val="22"/>
        </w:rPr>
      </w:pPr>
    </w:p>
    <w:p w14:paraId="16A2D497" w14:textId="77777777" w:rsidR="003D2620" w:rsidRPr="00204F73" w:rsidRDefault="003D2620" w:rsidP="003D2620">
      <w:pPr>
        <w:spacing w:before="240" w:after="240"/>
        <w:jc w:val="center"/>
        <w:rPr>
          <w:rFonts w:ascii="DecimaWE Rg" w:hAnsi="DecimaWE Rg"/>
          <w:b/>
        </w:rPr>
      </w:pPr>
      <w:r w:rsidRPr="00F444EB">
        <w:rPr>
          <w:rFonts w:ascii="DecimaWE Rg" w:hAnsi="DecimaWE Rg"/>
          <w:b/>
          <w:noProof/>
        </w:rPr>
        <w:drawing>
          <wp:inline distT="0" distB="0" distL="0" distR="0" wp14:anchorId="16728A82" wp14:editId="43385C17">
            <wp:extent cx="4068973" cy="2703444"/>
            <wp:effectExtent l="0" t="0" r="8255" b="1905"/>
            <wp:docPr id="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34537" t="16667" r="19861" b="27367"/>
                    <a:stretch/>
                  </pic:blipFill>
                  <pic:spPr>
                    <a:xfrm>
                      <a:off x="0" y="0"/>
                      <a:ext cx="4099700" cy="272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26105" w14:textId="77777777" w:rsidR="003D2620" w:rsidRDefault="003D2620" w:rsidP="003D2620">
      <w:pPr>
        <w:pStyle w:val="NormaleWeb"/>
        <w:spacing w:before="0" w:beforeAutospacing="0" w:after="0" w:afterAutospacing="0"/>
        <w:jc w:val="center"/>
        <w:rPr>
          <w:rFonts w:ascii="DecimaWE Rg" w:eastAsiaTheme="minorEastAsia" w:hAnsi="DecimaWE Rg" w:cstheme="minorBidi"/>
          <w:noProof/>
          <w:color w:val="000000" w:themeColor="text1"/>
          <w:kern w:val="24"/>
          <w:sz w:val="22"/>
        </w:rPr>
      </w:pPr>
    </w:p>
    <w:p w14:paraId="5F10F78C" w14:textId="77777777" w:rsidR="003D2620" w:rsidRDefault="003D2620" w:rsidP="003D2620">
      <w:pPr>
        <w:pStyle w:val="NormaleWeb"/>
        <w:spacing w:before="0" w:beforeAutospacing="0" w:after="0" w:afterAutospacing="0"/>
        <w:jc w:val="center"/>
        <w:rPr>
          <w:rFonts w:ascii="DecimaWE Rg" w:eastAsiaTheme="minorEastAsia" w:hAnsi="DecimaWE Rg" w:cstheme="minorBidi"/>
          <w:color w:val="000000" w:themeColor="text1"/>
          <w:kern w:val="24"/>
          <w:sz w:val="22"/>
        </w:rPr>
      </w:pPr>
      <w:r w:rsidRPr="00204F73">
        <w:rPr>
          <w:rFonts w:ascii="DecimaWE Rg" w:eastAsiaTheme="minorEastAsia" w:hAnsi="DecimaWE Rg" w:cstheme="minorBidi"/>
          <w:noProof/>
          <w:color w:val="000000" w:themeColor="text1"/>
          <w:kern w:val="24"/>
          <w:sz w:val="22"/>
        </w:rPr>
        <w:drawing>
          <wp:inline distT="0" distB="0" distL="0" distR="0" wp14:anchorId="6431C767" wp14:editId="64BBAD95">
            <wp:extent cx="4810539" cy="2484131"/>
            <wp:effectExtent l="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7175" cy="2492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5A415" w14:textId="77777777" w:rsidR="003D2620" w:rsidRDefault="003D2620" w:rsidP="003D2620">
      <w:pPr>
        <w:jc w:val="both"/>
        <w:rPr>
          <w:rFonts w:ascii="DecimaWE Rg" w:eastAsiaTheme="minorEastAsia" w:hAnsi="DecimaWE Rg" w:cstheme="minorBidi"/>
          <w:b/>
          <w:bCs/>
          <w:color w:val="000000" w:themeColor="text1"/>
          <w:kern w:val="24"/>
          <w:sz w:val="22"/>
          <w:szCs w:val="22"/>
        </w:rPr>
      </w:pPr>
    </w:p>
    <w:p w14:paraId="72A47485" w14:textId="4500CFCD" w:rsidR="003D2620" w:rsidRDefault="003D2620" w:rsidP="003D2620">
      <w:pPr>
        <w:jc w:val="both"/>
        <w:rPr>
          <w:rFonts w:ascii="DecimaWE Rg" w:eastAsiaTheme="minorEastAsia" w:hAnsi="DecimaWE Rg" w:cstheme="minorBidi"/>
          <w:b/>
          <w:bCs/>
          <w:color w:val="000000" w:themeColor="text1"/>
          <w:kern w:val="24"/>
          <w:sz w:val="22"/>
          <w:szCs w:val="22"/>
        </w:rPr>
      </w:pPr>
    </w:p>
    <w:p w14:paraId="4B30B6C6" w14:textId="77777777" w:rsidR="002B3B24" w:rsidRDefault="002B3B24" w:rsidP="003D2620">
      <w:pPr>
        <w:jc w:val="both"/>
        <w:rPr>
          <w:rFonts w:ascii="DecimaWE Rg" w:eastAsiaTheme="minorEastAsia" w:hAnsi="DecimaWE Rg" w:cstheme="minorBidi"/>
          <w:b/>
          <w:bCs/>
          <w:color w:val="000000" w:themeColor="text1"/>
          <w:kern w:val="24"/>
          <w:sz w:val="22"/>
          <w:szCs w:val="22"/>
        </w:rPr>
      </w:pPr>
    </w:p>
    <w:p w14:paraId="2A1709AE" w14:textId="77777777" w:rsidR="003D2620" w:rsidRPr="005C784F" w:rsidRDefault="003D2620" w:rsidP="003D2620">
      <w:pPr>
        <w:jc w:val="both"/>
        <w:rPr>
          <w:rFonts w:ascii="DecimaWE Rg" w:eastAsiaTheme="minorEastAsia" w:hAnsi="DecimaWE Rg" w:cstheme="minorBidi"/>
          <w:b/>
          <w:bCs/>
          <w:i/>
          <w:iCs/>
          <w:color w:val="FF0000"/>
          <w:kern w:val="24"/>
          <w:sz w:val="32"/>
          <w:szCs w:val="32"/>
        </w:rPr>
      </w:pPr>
      <w:r w:rsidRPr="005C784F">
        <w:rPr>
          <w:rFonts w:ascii="DecimaWE Rg" w:eastAsiaTheme="minorEastAsia" w:hAnsi="DecimaWE Rg" w:cstheme="minorBidi"/>
          <w:b/>
          <w:bCs/>
          <w:i/>
          <w:iCs/>
          <w:color w:val="FF0000"/>
          <w:kern w:val="24"/>
          <w:sz w:val="32"/>
          <w:szCs w:val="32"/>
        </w:rPr>
        <w:sym w:font="Wingdings" w:char="F0E0"/>
      </w:r>
      <w:r w:rsidRPr="005C784F">
        <w:rPr>
          <w:rFonts w:ascii="DecimaWE Rg" w:eastAsiaTheme="minorEastAsia" w:hAnsi="DecimaWE Rg" w:cstheme="minorBidi"/>
          <w:b/>
          <w:bCs/>
          <w:i/>
          <w:iCs/>
          <w:color w:val="FF0000"/>
          <w:kern w:val="24"/>
          <w:sz w:val="32"/>
          <w:szCs w:val="32"/>
        </w:rPr>
        <w:t xml:space="preserve"> </w:t>
      </w:r>
      <w:proofErr w:type="spellStart"/>
      <w:r w:rsidRPr="005C784F">
        <w:rPr>
          <w:rFonts w:ascii="DecimaWE Rg" w:eastAsiaTheme="minorEastAsia" w:hAnsi="DecimaWE Rg" w:cstheme="minorBidi"/>
          <w:b/>
          <w:bCs/>
          <w:i/>
          <w:iCs/>
          <w:color w:val="FF0000"/>
          <w:kern w:val="24"/>
          <w:sz w:val="32"/>
          <w:szCs w:val="32"/>
        </w:rPr>
        <w:t>Mandatory</w:t>
      </w:r>
      <w:proofErr w:type="spellEnd"/>
      <w:r w:rsidRPr="005C784F">
        <w:rPr>
          <w:rFonts w:ascii="DecimaWE Rg" w:eastAsiaTheme="minorEastAsia" w:hAnsi="DecimaWE Rg" w:cstheme="minorBidi"/>
          <w:b/>
          <w:bCs/>
          <w:i/>
          <w:iCs/>
          <w:color w:val="FF0000"/>
          <w:kern w:val="24"/>
          <w:sz w:val="32"/>
          <w:szCs w:val="32"/>
        </w:rPr>
        <w:t xml:space="preserve"> </w:t>
      </w:r>
      <w:proofErr w:type="spellStart"/>
      <w:r w:rsidRPr="005C784F">
        <w:rPr>
          <w:rFonts w:ascii="DecimaWE Rg" w:eastAsiaTheme="minorEastAsia" w:hAnsi="DecimaWE Rg" w:cstheme="minorBidi"/>
          <w:b/>
          <w:bCs/>
          <w:i/>
          <w:iCs/>
          <w:color w:val="FF0000"/>
          <w:kern w:val="24"/>
          <w:sz w:val="32"/>
          <w:szCs w:val="32"/>
        </w:rPr>
        <w:t>path</w:t>
      </w:r>
      <w:proofErr w:type="spellEnd"/>
    </w:p>
    <w:p w14:paraId="50DB1953" w14:textId="77777777" w:rsidR="003D2620" w:rsidRDefault="003D2620" w:rsidP="003D2620">
      <w:pPr>
        <w:jc w:val="both"/>
        <w:rPr>
          <w:rFonts w:ascii="DecimaWE Rg" w:eastAsiaTheme="minorEastAsia" w:hAnsi="DecimaWE Rg" w:cstheme="minorBidi"/>
          <w:b/>
          <w:bCs/>
          <w:color w:val="000000" w:themeColor="text1"/>
          <w:kern w:val="24"/>
          <w:sz w:val="22"/>
          <w:szCs w:val="22"/>
        </w:rPr>
      </w:pPr>
    </w:p>
    <w:p w14:paraId="00675914" w14:textId="77777777" w:rsidR="003D2620" w:rsidRPr="003B6544" w:rsidRDefault="003D2620" w:rsidP="003D2620">
      <w:pPr>
        <w:jc w:val="both"/>
        <w:rPr>
          <w:rFonts w:ascii="DecimaWE Rg" w:eastAsia="Times New Roman" w:hAnsi="DecimaWE Rg"/>
          <w:color w:val="FF0000"/>
          <w:sz w:val="22"/>
          <w:szCs w:val="22"/>
        </w:rPr>
      </w:pPr>
      <w:r w:rsidRPr="006A180D">
        <w:rPr>
          <w:rFonts w:ascii="DecimaWE Rg" w:eastAsiaTheme="minorEastAsia" w:hAnsi="DecimaWE Rg" w:cstheme="minorBidi"/>
          <w:b/>
          <w:bCs/>
          <w:color w:val="FF0000"/>
          <w:kern w:val="24"/>
          <w:sz w:val="22"/>
          <w:szCs w:val="22"/>
        </w:rPr>
        <w:t>I</w:t>
      </w:r>
      <w:r w:rsidRPr="003B6544">
        <w:rPr>
          <w:rFonts w:ascii="DecimaWE Rg" w:eastAsiaTheme="minorEastAsia" w:hAnsi="DecimaWE Rg" w:cstheme="minorBidi"/>
          <w:b/>
          <w:bCs/>
          <w:color w:val="FF0000"/>
          <w:kern w:val="24"/>
          <w:sz w:val="22"/>
          <w:szCs w:val="22"/>
        </w:rPr>
        <w:t>. C’è una forte prova di altre cause?</w:t>
      </w:r>
      <w:r w:rsidRPr="006A180D">
        <w:rPr>
          <w:rFonts w:ascii="DecimaWE Rg" w:eastAsiaTheme="minorEastAsia" w:hAnsi="DecimaWE Rg" w:cstheme="minorBidi"/>
          <w:b/>
          <w:bCs/>
          <w:color w:val="FF0000"/>
          <w:kern w:val="24"/>
          <w:sz w:val="22"/>
          <w:szCs w:val="22"/>
        </w:rPr>
        <w:t xml:space="preserve"> </w:t>
      </w:r>
      <w:r w:rsidRPr="003B6544">
        <w:rPr>
          <w:rFonts w:ascii="DecimaWE Rg" w:eastAsiaTheme="minorEastAsia" w:hAnsi="DecimaWE Rg" w:cstheme="minorBidi"/>
          <w:color w:val="FF0000"/>
          <w:kern w:val="24"/>
          <w:sz w:val="22"/>
          <w:szCs w:val="22"/>
        </w:rPr>
        <w:t>(Presenza di possibili spiegazioni alternative)</w:t>
      </w:r>
    </w:p>
    <w:p w14:paraId="17D0F22A" w14:textId="77777777" w:rsidR="003D2620" w:rsidRPr="00121F02" w:rsidRDefault="003D2620" w:rsidP="003D2620">
      <w:pPr>
        <w:pStyle w:val="Paragrafoelenco"/>
        <w:numPr>
          <w:ilvl w:val="0"/>
          <w:numId w:val="19"/>
        </w:numPr>
        <w:jc w:val="both"/>
        <w:rPr>
          <w:rFonts w:ascii="DecimaWE Rg" w:eastAsiaTheme="minorEastAsia" w:hAnsi="DecimaWE Rg" w:cstheme="minorBidi"/>
          <w:color w:val="000000" w:themeColor="text1"/>
          <w:kern w:val="24"/>
        </w:rPr>
      </w:pPr>
      <w:r w:rsidRPr="00121F02">
        <w:rPr>
          <w:rFonts w:ascii="DecimaWE Rg" w:eastAsiaTheme="minorEastAsia" w:hAnsi="DecimaWE Rg" w:cstheme="minorBidi"/>
          <w:color w:val="000000" w:themeColor="text1"/>
          <w:kern w:val="24"/>
        </w:rPr>
        <w:t xml:space="preserve">In questo paziente, la storia medica, gli esami clinici e/o altre indagini, danno </w:t>
      </w:r>
      <w:r w:rsidRPr="0057592F">
        <w:rPr>
          <w:rFonts w:ascii="DecimaWE Rg" w:eastAsiaTheme="minorEastAsia" w:hAnsi="DecimaWE Rg" w:cstheme="minorBidi"/>
          <w:bCs/>
          <w:color w:val="000000" w:themeColor="text1"/>
          <w:kern w:val="24"/>
        </w:rPr>
        <w:t>evidenza di un’altra causa</w:t>
      </w:r>
      <w:r w:rsidRPr="00121F02">
        <w:rPr>
          <w:rFonts w:ascii="DecimaWE Rg" w:eastAsiaTheme="minorEastAsia" w:hAnsi="DecimaWE Rg" w:cstheme="minorBidi"/>
          <w:b/>
          <w:bCs/>
          <w:color w:val="000000" w:themeColor="text1"/>
          <w:kern w:val="24"/>
        </w:rPr>
        <w:t xml:space="preserve"> </w:t>
      </w:r>
      <w:r w:rsidRPr="00121F02">
        <w:rPr>
          <w:rFonts w:ascii="DecimaWE Rg" w:eastAsiaTheme="minorEastAsia" w:hAnsi="DecimaWE Rg" w:cstheme="minorBidi"/>
          <w:color w:val="000000" w:themeColor="text1"/>
          <w:kern w:val="24"/>
        </w:rPr>
        <w:t xml:space="preserve">all’evento avverso? </w:t>
      </w:r>
    </w:p>
    <w:p w14:paraId="45E6FAF1" w14:textId="77777777" w:rsidR="003D2620" w:rsidRDefault="003D2620" w:rsidP="003D2620">
      <w:pPr>
        <w:jc w:val="both"/>
        <w:rPr>
          <w:rFonts w:ascii="DecimaWE Rg" w:eastAsiaTheme="minorEastAsia" w:hAnsi="DecimaWE Rg" w:cstheme="minorBidi"/>
          <w:color w:val="000000" w:themeColor="text1"/>
          <w:kern w:val="24"/>
          <w:sz w:val="22"/>
          <w:szCs w:val="22"/>
        </w:rPr>
      </w:pPr>
    </w:p>
    <w:p w14:paraId="4935D4E9" w14:textId="77777777" w:rsidR="003D2620" w:rsidRPr="003B6544" w:rsidRDefault="003D2620" w:rsidP="003D2620">
      <w:pPr>
        <w:jc w:val="both"/>
        <w:rPr>
          <w:rFonts w:ascii="DecimaWE Rg" w:eastAsia="Times New Roman" w:hAnsi="DecimaWE Rg"/>
          <w:color w:val="002060"/>
          <w:sz w:val="22"/>
          <w:szCs w:val="22"/>
        </w:rPr>
      </w:pPr>
    </w:p>
    <w:p w14:paraId="3135C723" w14:textId="77777777" w:rsidR="003D2620" w:rsidRPr="006A180D" w:rsidRDefault="003D2620" w:rsidP="003D2620">
      <w:pPr>
        <w:jc w:val="both"/>
        <w:rPr>
          <w:rFonts w:ascii="DecimaWE Rg" w:eastAsiaTheme="minorEastAsia" w:hAnsi="DecimaWE Rg" w:cstheme="minorBidi"/>
          <w:b/>
          <w:bCs/>
          <w:color w:val="FF0000"/>
          <w:kern w:val="24"/>
          <w:sz w:val="22"/>
          <w:szCs w:val="22"/>
        </w:rPr>
      </w:pPr>
      <w:r w:rsidRPr="003B6544">
        <w:rPr>
          <w:rFonts w:ascii="DecimaWE Rg" w:eastAsiaTheme="minorEastAsia" w:hAnsi="DecimaWE Rg" w:cstheme="minorBidi"/>
          <w:b/>
          <w:bCs/>
          <w:color w:val="FF0000"/>
          <w:kern w:val="24"/>
          <w:sz w:val="22"/>
          <w:szCs w:val="22"/>
        </w:rPr>
        <w:t>II. C’è un’associazione causale nota con il vaccino o la vaccinazione?</w:t>
      </w:r>
      <w:r w:rsidRPr="006A180D">
        <w:rPr>
          <w:rFonts w:ascii="DecimaWE Rg" w:eastAsiaTheme="minorEastAsia" w:hAnsi="DecimaWE Rg" w:cstheme="minorBidi"/>
          <w:b/>
          <w:bCs/>
          <w:color w:val="FF0000"/>
          <w:kern w:val="24"/>
          <w:sz w:val="22"/>
          <w:szCs w:val="22"/>
        </w:rPr>
        <w:t xml:space="preserve"> </w:t>
      </w:r>
    </w:p>
    <w:p w14:paraId="7725510B" w14:textId="77777777" w:rsidR="003D2620" w:rsidRPr="00121F02" w:rsidRDefault="003D2620" w:rsidP="003D2620">
      <w:pPr>
        <w:pStyle w:val="Paragrafoelenco"/>
        <w:numPr>
          <w:ilvl w:val="0"/>
          <w:numId w:val="17"/>
        </w:numPr>
        <w:contextualSpacing/>
        <w:jc w:val="both"/>
        <w:rPr>
          <w:rFonts w:ascii="DecimaWE Rg" w:eastAsiaTheme="minorEastAsia" w:hAnsi="DecimaWE Rg" w:cstheme="minorBidi"/>
          <w:color w:val="000000" w:themeColor="text1"/>
          <w:kern w:val="24"/>
        </w:rPr>
      </w:pPr>
      <w:r w:rsidRPr="00121F02">
        <w:rPr>
          <w:rFonts w:ascii="DecimaWE Rg" w:eastAsiaTheme="minorEastAsia" w:hAnsi="DecimaWE Rg" w:cstheme="minorBidi"/>
          <w:color w:val="000000" w:themeColor="text1"/>
          <w:kern w:val="24"/>
        </w:rPr>
        <w:t>Ci sono prove in letteratura</w:t>
      </w:r>
      <w:r w:rsidRPr="00121F02">
        <w:rPr>
          <w:rFonts w:ascii="DecimaWE Rg" w:eastAsiaTheme="minorEastAsia" w:hAnsi="DecimaWE Rg" w:cstheme="minorBidi"/>
          <w:i/>
          <w:iCs/>
          <w:color w:val="000000" w:themeColor="text1"/>
          <w:kern w:val="24"/>
        </w:rPr>
        <w:t xml:space="preserve"> </w:t>
      </w:r>
      <w:r w:rsidRPr="00121F02">
        <w:rPr>
          <w:rFonts w:ascii="DecimaWE Rg" w:eastAsiaTheme="minorEastAsia" w:hAnsi="DecimaWE Rg" w:cstheme="minorBidi"/>
          <w:color w:val="000000" w:themeColor="text1"/>
          <w:kern w:val="24"/>
        </w:rPr>
        <w:t>che questo vaccino possa causare tale evento se somministrato correttamente?</w:t>
      </w:r>
    </w:p>
    <w:p w14:paraId="6DA31033" w14:textId="77777777" w:rsidR="003D2620" w:rsidRPr="00121F02" w:rsidRDefault="003D2620" w:rsidP="003D2620">
      <w:pPr>
        <w:pStyle w:val="Paragrafoelenco"/>
        <w:numPr>
          <w:ilvl w:val="0"/>
          <w:numId w:val="17"/>
        </w:numPr>
        <w:contextualSpacing/>
        <w:jc w:val="both"/>
        <w:rPr>
          <w:rFonts w:ascii="DecimaWE Rg" w:eastAsiaTheme="minorEastAsia" w:hAnsi="DecimaWE Rg" w:cstheme="minorBidi"/>
          <w:color w:val="000000" w:themeColor="text1"/>
          <w:kern w:val="24"/>
        </w:rPr>
      </w:pPr>
      <w:r w:rsidRPr="00121F02">
        <w:rPr>
          <w:rFonts w:ascii="DecimaWE Rg" w:eastAsiaTheme="minorEastAsia" w:hAnsi="DecimaWE Rg" w:cstheme="minorBidi"/>
          <w:color w:val="000000" w:themeColor="text1"/>
          <w:kern w:val="24"/>
        </w:rPr>
        <w:t>C’è una plausibilità biologica che questo vaccino possa causare tale evento?</w:t>
      </w:r>
    </w:p>
    <w:p w14:paraId="23B16273" w14:textId="77777777" w:rsidR="003D2620" w:rsidRPr="00121F02" w:rsidRDefault="003D2620" w:rsidP="003D2620">
      <w:pPr>
        <w:pStyle w:val="Paragrafoelenco"/>
        <w:numPr>
          <w:ilvl w:val="0"/>
          <w:numId w:val="17"/>
        </w:numPr>
        <w:contextualSpacing/>
        <w:jc w:val="both"/>
        <w:rPr>
          <w:rFonts w:ascii="DecimaWE Rg" w:eastAsiaTheme="minorEastAsia" w:hAnsi="DecimaWE Rg" w:cstheme="minorBidi"/>
          <w:color w:val="000000" w:themeColor="text1"/>
          <w:kern w:val="24"/>
        </w:rPr>
      </w:pPr>
      <w:r w:rsidRPr="00121F02">
        <w:rPr>
          <w:rFonts w:ascii="DecimaWE Rg" w:eastAsiaTheme="minorEastAsia" w:hAnsi="DecimaWE Rg" w:cstheme="minorBidi"/>
          <w:color w:val="000000" w:themeColor="text1"/>
          <w:kern w:val="24"/>
        </w:rPr>
        <w:t>In questo paziente un test specifico ha dimostrato il ruolo causale del vaccino?</w:t>
      </w:r>
    </w:p>
    <w:p w14:paraId="671A9B3C" w14:textId="77777777" w:rsidR="003D2620" w:rsidRPr="003911E9" w:rsidRDefault="003D2620" w:rsidP="003D2620">
      <w:pPr>
        <w:contextualSpacing/>
        <w:jc w:val="both"/>
        <w:rPr>
          <w:rFonts w:ascii="DecimaWE Rg" w:eastAsiaTheme="minorEastAsia" w:hAnsi="DecimaWE Rg" w:cstheme="minorBidi"/>
          <w:color w:val="000000" w:themeColor="text1"/>
          <w:kern w:val="24"/>
          <w:sz w:val="22"/>
          <w:szCs w:val="22"/>
        </w:rPr>
      </w:pPr>
    </w:p>
    <w:p w14:paraId="02C23540" w14:textId="77777777" w:rsidR="003D2620" w:rsidRDefault="003D2620" w:rsidP="003D2620">
      <w:pPr>
        <w:jc w:val="both"/>
        <w:rPr>
          <w:rFonts w:ascii="DecimaWE Rg" w:eastAsia="Times New Roman" w:hAnsi="DecimaWE Rg"/>
          <w:color w:val="000000" w:themeColor="text1"/>
          <w:sz w:val="22"/>
          <w:szCs w:val="22"/>
        </w:rPr>
      </w:pPr>
      <w:r w:rsidRPr="0057592F">
        <w:rPr>
          <w:rFonts w:ascii="DecimaWE Rg" w:eastAsia="Times New Roman" w:hAnsi="DecimaWE Rg"/>
          <w:b/>
          <w:bCs/>
          <w:color w:val="000000" w:themeColor="text1"/>
          <w:sz w:val="22"/>
          <w:szCs w:val="22"/>
        </w:rPr>
        <w:t xml:space="preserve">II </w:t>
      </w:r>
      <w:r w:rsidRPr="0057592F">
        <w:rPr>
          <w:rFonts w:ascii="DecimaWE Rg" w:eastAsia="Times New Roman" w:hAnsi="DecimaWE Rg"/>
          <w:b/>
          <w:color w:val="000000" w:themeColor="text1"/>
          <w:sz w:val="22"/>
          <w:szCs w:val="22"/>
        </w:rPr>
        <w:t>(Relazione temporale)</w:t>
      </w:r>
      <w:r w:rsidRPr="0057592F">
        <w:rPr>
          <w:rFonts w:ascii="DecimaWE Rg" w:eastAsia="Times New Roman" w:hAnsi="DecimaWE Rg"/>
          <w:b/>
          <w:bCs/>
          <w:color w:val="000000" w:themeColor="text1"/>
          <w:sz w:val="22"/>
          <w:szCs w:val="22"/>
        </w:rPr>
        <w:t>.</w:t>
      </w:r>
      <w:r w:rsidRPr="003B6544">
        <w:rPr>
          <w:rFonts w:ascii="DecimaWE Rg" w:eastAsia="Times New Roman" w:hAnsi="DecimaWE Rg"/>
          <w:b/>
          <w:bCs/>
          <w:color w:val="000000" w:themeColor="text1"/>
          <w:sz w:val="22"/>
          <w:szCs w:val="22"/>
        </w:rPr>
        <w:t xml:space="preserve"> L’evento segnalato si è manifestato nella finestra temporale di aumento del rischio?</w:t>
      </w:r>
      <w:r w:rsidRPr="0055619D">
        <w:rPr>
          <w:rFonts w:ascii="DecimaWE Rg" w:eastAsia="Times New Roman" w:hAnsi="DecimaWE Rg"/>
          <w:b/>
          <w:bCs/>
          <w:color w:val="000000" w:themeColor="text1"/>
          <w:sz w:val="22"/>
          <w:szCs w:val="22"/>
        </w:rPr>
        <w:t xml:space="preserve"> </w:t>
      </w:r>
    </w:p>
    <w:p w14:paraId="6F8193AA" w14:textId="77777777" w:rsidR="003D2620" w:rsidRDefault="003D2620" w:rsidP="003D2620">
      <w:pPr>
        <w:jc w:val="both"/>
        <w:rPr>
          <w:rFonts w:ascii="DecimaWE Rg" w:eastAsia="Times New Roman" w:hAnsi="DecimaWE Rg"/>
          <w:color w:val="000000" w:themeColor="text1"/>
          <w:sz w:val="22"/>
          <w:szCs w:val="22"/>
        </w:rPr>
      </w:pPr>
    </w:p>
    <w:p w14:paraId="590AE289" w14:textId="77777777" w:rsidR="003D2620" w:rsidRPr="003B6544" w:rsidRDefault="003D2620" w:rsidP="003D2620">
      <w:pPr>
        <w:jc w:val="both"/>
        <w:rPr>
          <w:rFonts w:ascii="DecimaWE Rg" w:eastAsia="Times New Roman" w:hAnsi="DecimaWE Rg"/>
          <w:b/>
          <w:bCs/>
          <w:color w:val="FF0000"/>
          <w:sz w:val="22"/>
          <w:szCs w:val="22"/>
        </w:rPr>
      </w:pPr>
    </w:p>
    <w:p w14:paraId="11A18367" w14:textId="77777777" w:rsidR="003D2620" w:rsidRDefault="003D2620" w:rsidP="003D2620">
      <w:pPr>
        <w:shd w:val="clear" w:color="auto" w:fill="FFFFFF"/>
        <w:ind w:right="360"/>
        <w:jc w:val="both"/>
        <w:rPr>
          <w:rFonts w:ascii="DecimaWE Rg" w:hAnsi="DecimaWE Rg"/>
          <w:b/>
          <w:iCs/>
          <w:color w:val="FF0000"/>
          <w:sz w:val="22"/>
          <w:szCs w:val="22"/>
        </w:rPr>
      </w:pPr>
      <w:r w:rsidRPr="003B6544">
        <w:rPr>
          <w:rFonts w:ascii="DecimaWE Rg" w:hAnsi="DecimaWE Rg"/>
          <w:b/>
          <w:iCs/>
          <w:color w:val="FF0000"/>
          <w:sz w:val="22"/>
          <w:szCs w:val="22"/>
        </w:rPr>
        <w:t>III. C’è una forte prova contro un’associazione causale?</w:t>
      </w:r>
    </w:p>
    <w:p w14:paraId="7C3AD3E4" w14:textId="77777777" w:rsidR="003D2620" w:rsidRPr="00121F02" w:rsidRDefault="003D2620" w:rsidP="003D2620">
      <w:pPr>
        <w:pStyle w:val="Paragrafoelenco"/>
        <w:numPr>
          <w:ilvl w:val="0"/>
          <w:numId w:val="9"/>
        </w:numPr>
        <w:shd w:val="clear" w:color="auto" w:fill="FFFFFF"/>
        <w:ind w:left="360" w:right="360"/>
        <w:jc w:val="both"/>
        <w:rPr>
          <w:rFonts w:ascii="DecimaWE Rg" w:eastAsiaTheme="minorEastAsia" w:hAnsi="DecimaWE Rg" w:cstheme="minorBidi"/>
          <w:color w:val="000000" w:themeColor="text1"/>
          <w:kern w:val="24"/>
        </w:rPr>
      </w:pPr>
      <w:r w:rsidRPr="00121F02">
        <w:rPr>
          <w:rFonts w:ascii="DecimaWE Rg" w:eastAsiaTheme="minorEastAsia" w:hAnsi="DecimaWE Rg" w:cstheme="minorBidi"/>
          <w:color w:val="000000" w:themeColor="text1"/>
          <w:kern w:val="24"/>
        </w:rPr>
        <w:t>C’è un corpo di prove pubblicate (ad es. dal Comitato consultivo globale sulla sicurezza dei vaccini – GACVS dell’OMS) contrarie ad un’associazione causale tra il vaccino e l’evento avverso?</w:t>
      </w:r>
    </w:p>
    <w:p w14:paraId="77DFCAFC" w14:textId="77777777" w:rsidR="003D2620" w:rsidRDefault="003D2620" w:rsidP="003D2620">
      <w:pPr>
        <w:shd w:val="clear" w:color="auto" w:fill="FFFFFF"/>
        <w:ind w:right="360"/>
        <w:jc w:val="both"/>
        <w:rPr>
          <w:rFonts w:ascii="DecimaWE Rg" w:eastAsiaTheme="minorEastAsia" w:hAnsi="DecimaWE Rg" w:cstheme="minorBidi"/>
          <w:color w:val="000000" w:themeColor="text1"/>
          <w:kern w:val="24"/>
          <w:sz w:val="22"/>
          <w:szCs w:val="22"/>
        </w:rPr>
      </w:pPr>
    </w:p>
    <w:p w14:paraId="5F7B1ACF" w14:textId="77777777" w:rsidR="003D2620" w:rsidRDefault="003D2620" w:rsidP="003D2620">
      <w:pPr>
        <w:shd w:val="clear" w:color="auto" w:fill="FFFFFF"/>
        <w:ind w:right="360"/>
        <w:jc w:val="both"/>
        <w:rPr>
          <w:rFonts w:ascii="DecimaWE Rg" w:eastAsiaTheme="minorEastAsia" w:hAnsi="DecimaWE Rg" w:cstheme="minorBidi"/>
          <w:color w:val="000000" w:themeColor="text1"/>
          <w:kern w:val="24"/>
          <w:sz w:val="22"/>
          <w:szCs w:val="22"/>
        </w:rPr>
      </w:pPr>
    </w:p>
    <w:p w14:paraId="10C05B62" w14:textId="77777777" w:rsidR="003D2620" w:rsidRPr="002B78D8" w:rsidRDefault="003D2620" w:rsidP="003D2620">
      <w:pPr>
        <w:shd w:val="clear" w:color="auto" w:fill="FFFFFF"/>
        <w:ind w:right="360"/>
        <w:jc w:val="both"/>
        <w:rPr>
          <w:rFonts w:ascii="DecimaWE Rg" w:hAnsi="DecimaWE Rg"/>
          <w:b/>
          <w:iCs/>
          <w:color w:val="FF0000"/>
          <w:sz w:val="22"/>
          <w:szCs w:val="22"/>
        </w:rPr>
      </w:pPr>
      <w:r w:rsidRPr="002B78D8">
        <w:rPr>
          <w:rFonts w:ascii="DecimaWE Rg" w:hAnsi="DecimaWE Rg"/>
          <w:b/>
          <w:iCs/>
          <w:color w:val="FF0000"/>
          <w:sz w:val="22"/>
          <w:szCs w:val="22"/>
        </w:rPr>
        <w:t xml:space="preserve">IV. </w:t>
      </w:r>
      <w:r>
        <w:rPr>
          <w:rFonts w:ascii="DecimaWE Rg" w:hAnsi="DecimaWE Rg"/>
          <w:b/>
          <w:iCs/>
          <w:color w:val="FF0000"/>
          <w:sz w:val="22"/>
          <w:szCs w:val="22"/>
        </w:rPr>
        <w:t>Altri</w:t>
      </w:r>
      <w:r w:rsidRPr="002B78D8">
        <w:rPr>
          <w:rFonts w:ascii="DecimaWE Rg" w:hAnsi="DecimaWE Rg"/>
          <w:b/>
          <w:iCs/>
          <w:color w:val="FF0000"/>
          <w:sz w:val="22"/>
          <w:szCs w:val="22"/>
        </w:rPr>
        <w:t xml:space="preserve"> fattori qualificanti per la classificazione</w:t>
      </w:r>
      <w:r>
        <w:rPr>
          <w:rFonts w:ascii="DecimaWE Rg" w:hAnsi="DecimaWE Rg"/>
          <w:b/>
          <w:iCs/>
          <w:color w:val="FF0000"/>
          <w:sz w:val="22"/>
          <w:szCs w:val="22"/>
        </w:rPr>
        <w:t>. L’evento è qualificabile?</w:t>
      </w:r>
    </w:p>
    <w:p w14:paraId="3E7E6C75" w14:textId="77777777" w:rsidR="003D2620" w:rsidRPr="00121F02" w:rsidRDefault="003D2620" w:rsidP="003D2620">
      <w:pPr>
        <w:pStyle w:val="Paragrafoelenco"/>
        <w:numPr>
          <w:ilvl w:val="0"/>
          <w:numId w:val="18"/>
        </w:numPr>
        <w:shd w:val="clear" w:color="auto" w:fill="FFFFFF"/>
        <w:ind w:right="360"/>
        <w:jc w:val="both"/>
        <w:rPr>
          <w:rFonts w:ascii="DecimaWE Rg" w:hAnsi="DecimaWE Rg"/>
          <w:bCs/>
          <w:iCs/>
        </w:rPr>
      </w:pPr>
      <w:r w:rsidRPr="00121F02">
        <w:rPr>
          <w:rFonts w:ascii="DecimaWE Rg" w:hAnsi="DecimaWE Rg"/>
          <w:bCs/>
          <w:iCs/>
        </w:rPr>
        <w:t>In questo paziente tale evento è già avvenuto in passato dopo la somministrazione di un vaccino simile?</w:t>
      </w:r>
    </w:p>
    <w:p w14:paraId="1313A4A4" w14:textId="77777777" w:rsidR="003D2620" w:rsidRPr="00121F02" w:rsidRDefault="003D2620" w:rsidP="003D2620">
      <w:pPr>
        <w:pStyle w:val="Paragrafoelenco"/>
        <w:numPr>
          <w:ilvl w:val="0"/>
          <w:numId w:val="18"/>
        </w:numPr>
        <w:shd w:val="clear" w:color="auto" w:fill="FFFFFF"/>
        <w:ind w:right="360"/>
        <w:jc w:val="both"/>
        <w:rPr>
          <w:rFonts w:ascii="DecimaWE Rg" w:hAnsi="DecimaWE Rg"/>
          <w:bCs/>
          <w:iCs/>
        </w:rPr>
      </w:pPr>
      <w:r w:rsidRPr="00121F02">
        <w:rPr>
          <w:rFonts w:ascii="DecimaWE Rg" w:hAnsi="DecimaWE Rg"/>
          <w:bCs/>
          <w:iCs/>
        </w:rPr>
        <w:t>In questo paziente tale evento è già avvenuto in passato indipendentemente dalla vaccinazione?</w:t>
      </w:r>
    </w:p>
    <w:p w14:paraId="739FDCC6" w14:textId="77777777" w:rsidR="003D2620" w:rsidRPr="00121F02" w:rsidRDefault="003D2620" w:rsidP="003D2620">
      <w:pPr>
        <w:pStyle w:val="Paragrafoelenco"/>
        <w:numPr>
          <w:ilvl w:val="0"/>
          <w:numId w:val="18"/>
        </w:numPr>
        <w:shd w:val="clear" w:color="auto" w:fill="FFFFFF"/>
        <w:ind w:right="360"/>
        <w:jc w:val="both"/>
        <w:rPr>
          <w:rFonts w:ascii="DecimaWE Rg" w:hAnsi="DecimaWE Rg"/>
          <w:bCs/>
          <w:iCs/>
        </w:rPr>
      </w:pPr>
      <w:r w:rsidRPr="00121F02">
        <w:rPr>
          <w:rFonts w:ascii="DecimaWE Rg" w:hAnsi="DecimaWE Rg"/>
          <w:bCs/>
          <w:iCs/>
        </w:rPr>
        <w:t>In questo paziente tale evento potrebbe essere avvenuto senza la vaccinazione (incidenza basale)?</w:t>
      </w:r>
    </w:p>
    <w:p w14:paraId="56E596C8" w14:textId="77777777" w:rsidR="003D2620" w:rsidRPr="00121F02" w:rsidRDefault="003D2620" w:rsidP="003D2620">
      <w:pPr>
        <w:pStyle w:val="Paragrafoelenco"/>
        <w:numPr>
          <w:ilvl w:val="0"/>
          <w:numId w:val="18"/>
        </w:numPr>
        <w:shd w:val="clear" w:color="auto" w:fill="FFFFFF"/>
        <w:ind w:right="360"/>
        <w:jc w:val="both"/>
        <w:rPr>
          <w:rFonts w:ascii="DecimaWE Rg" w:hAnsi="DecimaWE Rg"/>
          <w:bCs/>
          <w:iCs/>
        </w:rPr>
      </w:pPr>
      <w:r w:rsidRPr="00121F02">
        <w:rPr>
          <w:rFonts w:ascii="DecimaWE Rg" w:hAnsi="DecimaWE Rg"/>
          <w:bCs/>
          <w:iCs/>
        </w:rPr>
        <w:t>Questo paziente aveva una malattia, condizione preesistente o fattore di rischio che potrebbe aver contribuito all’evento?</w:t>
      </w:r>
    </w:p>
    <w:p w14:paraId="40D6646D" w14:textId="77777777" w:rsidR="003D2620" w:rsidRDefault="003D2620" w:rsidP="003D2620">
      <w:pPr>
        <w:jc w:val="center"/>
        <w:rPr>
          <w:rFonts w:ascii="DecimaWE Rg" w:hAnsi="DecimaWE Rg"/>
          <w:b/>
        </w:rPr>
      </w:pPr>
    </w:p>
    <w:p w14:paraId="7BD78768" w14:textId="77777777" w:rsidR="003D2620" w:rsidRDefault="003D2620" w:rsidP="003D2620">
      <w:pPr>
        <w:jc w:val="center"/>
        <w:rPr>
          <w:rFonts w:ascii="DecimaWE Rg" w:hAnsi="DecimaWE Rg"/>
          <w:b/>
        </w:rPr>
      </w:pPr>
    </w:p>
    <w:p w14:paraId="4C3DFA02" w14:textId="0EFF0DF1" w:rsidR="008A5E27" w:rsidRDefault="008A5E27" w:rsidP="002B78D8">
      <w:pPr>
        <w:shd w:val="clear" w:color="auto" w:fill="FFFFFF"/>
        <w:ind w:right="360"/>
        <w:jc w:val="both"/>
        <w:rPr>
          <w:rFonts w:ascii="DecimaWE Rg" w:hAnsi="DecimaWE Rg"/>
          <w:bCs/>
          <w:iCs/>
          <w:sz w:val="22"/>
          <w:szCs w:val="22"/>
        </w:rPr>
      </w:pPr>
    </w:p>
    <w:p w14:paraId="69C67DBC" w14:textId="7ED2956C" w:rsidR="003D2620" w:rsidRDefault="003D2620" w:rsidP="002B78D8">
      <w:pPr>
        <w:shd w:val="clear" w:color="auto" w:fill="FFFFFF"/>
        <w:ind w:right="360"/>
        <w:jc w:val="both"/>
        <w:rPr>
          <w:rFonts w:ascii="DecimaWE Rg" w:hAnsi="DecimaWE Rg"/>
          <w:bCs/>
          <w:iCs/>
          <w:sz w:val="22"/>
          <w:szCs w:val="22"/>
        </w:rPr>
      </w:pPr>
    </w:p>
    <w:p w14:paraId="6FBB414C" w14:textId="7DC5048E" w:rsidR="003D2620" w:rsidRDefault="003D2620" w:rsidP="002B78D8">
      <w:pPr>
        <w:shd w:val="clear" w:color="auto" w:fill="FFFFFF"/>
        <w:ind w:right="360"/>
        <w:jc w:val="both"/>
        <w:rPr>
          <w:rFonts w:ascii="DecimaWE Rg" w:hAnsi="DecimaWE Rg"/>
          <w:bCs/>
          <w:iCs/>
          <w:sz w:val="22"/>
          <w:szCs w:val="22"/>
        </w:rPr>
      </w:pPr>
    </w:p>
    <w:p w14:paraId="0A4CB6D9" w14:textId="3C0F4EAA" w:rsidR="003D2620" w:rsidRDefault="003D2620" w:rsidP="002B78D8">
      <w:pPr>
        <w:shd w:val="clear" w:color="auto" w:fill="FFFFFF"/>
        <w:ind w:right="360"/>
        <w:jc w:val="both"/>
        <w:rPr>
          <w:rFonts w:ascii="DecimaWE Rg" w:hAnsi="DecimaWE Rg"/>
          <w:bCs/>
          <w:iCs/>
          <w:sz w:val="22"/>
          <w:szCs w:val="22"/>
        </w:rPr>
      </w:pPr>
    </w:p>
    <w:p w14:paraId="3249B390" w14:textId="507A730E" w:rsidR="003D2620" w:rsidRDefault="003D2620" w:rsidP="002B78D8">
      <w:pPr>
        <w:shd w:val="clear" w:color="auto" w:fill="FFFFFF"/>
        <w:ind w:right="360"/>
        <w:jc w:val="both"/>
        <w:rPr>
          <w:rFonts w:ascii="DecimaWE Rg" w:hAnsi="DecimaWE Rg"/>
          <w:bCs/>
          <w:iCs/>
          <w:sz w:val="22"/>
          <w:szCs w:val="22"/>
        </w:rPr>
      </w:pPr>
    </w:p>
    <w:p w14:paraId="049CAE77" w14:textId="09DDBE8F" w:rsidR="003D2620" w:rsidRDefault="003D2620" w:rsidP="002B78D8">
      <w:pPr>
        <w:shd w:val="clear" w:color="auto" w:fill="FFFFFF"/>
        <w:ind w:right="360"/>
        <w:jc w:val="both"/>
        <w:rPr>
          <w:rFonts w:ascii="DecimaWE Rg" w:hAnsi="DecimaWE Rg"/>
          <w:bCs/>
          <w:iCs/>
          <w:sz w:val="22"/>
          <w:szCs w:val="22"/>
        </w:rPr>
      </w:pPr>
    </w:p>
    <w:p w14:paraId="1AE437B0" w14:textId="40391635" w:rsidR="003D2620" w:rsidRDefault="003D2620" w:rsidP="002B78D8">
      <w:pPr>
        <w:shd w:val="clear" w:color="auto" w:fill="FFFFFF"/>
        <w:ind w:right="360"/>
        <w:jc w:val="both"/>
        <w:rPr>
          <w:rFonts w:ascii="DecimaWE Rg" w:hAnsi="DecimaWE Rg"/>
          <w:bCs/>
          <w:iCs/>
          <w:sz w:val="22"/>
          <w:szCs w:val="22"/>
        </w:rPr>
      </w:pPr>
    </w:p>
    <w:p w14:paraId="6915BCBA" w14:textId="01F624BC" w:rsidR="003D2620" w:rsidRDefault="003D2620" w:rsidP="002B78D8">
      <w:pPr>
        <w:shd w:val="clear" w:color="auto" w:fill="FFFFFF"/>
        <w:ind w:right="360"/>
        <w:jc w:val="both"/>
        <w:rPr>
          <w:rFonts w:ascii="DecimaWE Rg" w:hAnsi="DecimaWE Rg"/>
          <w:bCs/>
          <w:iCs/>
          <w:sz w:val="22"/>
          <w:szCs w:val="22"/>
        </w:rPr>
      </w:pPr>
    </w:p>
    <w:p w14:paraId="5AEBE8C2" w14:textId="274D379E" w:rsidR="003D2620" w:rsidRDefault="003D2620" w:rsidP="002B78D8">
      <w:pPr>
        <w:shd w:val="clear" w:color="auto" w:fill="FFFFFF"/>
        <w:ind w:right="360"/>
        <w:jc w:val="both"/>
        <w:rPr>
          <w:rFonts w:ascii="DecimaWE Rg" w:hAnsi="DecimaWE Rg"/>
          <w:bCs/>
          <w:iCs/>
          <w:sz w:val="22"/>
          <w:szCs w:val="22"/>
        </w:rPr>
      </w:pPr>
    </w:p>
    <w:p w14:paraId="585B6A69" w14:textId="460E18F5" w:rsidR="003D2620" w:rsidRDefault="003D2620" w:rsidP="002B78D8">
      <w:pPr>
        <w:shd w:val="clear" w:color="auto" w:fill="FFFFFF"/>
        <w:ind w:right="360"/>
        <w:jc w:val="both"/>
        <w:rPr>
          <w:rFonts w:ascii="DecimaWE Rg" w:hAnsi="DecimaWE Rg"/>
          <w:bCs/>
          <w:iCs/>
          <w:sz w:val="22"/>
          <w:szCs w:val="22"/>
        </w:rPr>
      </w:pPr>
    </w:p>
    <w:p w14:paraId="25E04E8A" w14:textId="2931CE50" w:rsidR="003D2620" w:rsidRDefault="003D2620" w:rsidP="002B78D8">
      <w:pPr>
        <w:shd w:val="clear" w:color="auto" w:fill="FFFFFF"/>
        <w:ind w:right="360"/>
        <w:jc w:val="both"/>
        <w:rPr>
          <w:rFonts w:ascii="DecimaWE Rg" w:hAnsi="DecimaWE Rg"/>
          <w:bCs/>
          <w:iCs/>
          <w:sz w:val="22"/>
          <w:szCs w:val="22"/>
        </w:rPr>
      </w:pPr>
    </w:p>
    <w:p w14:paraId="76C4A628" w14:textId="7127373A" w:rsidR="003D2620" w:rsidRDefault="003D2620" w:rsidP="002B78D8">
      <w:pPr>
        <w:shd w:val="clear" w:color="auto" w:fill="FFFFFF"/>
        <w:ind w:right="360"/>
        <w:jc w:val="both"/>
        <w:rPr>
          <w:rFonts w:ascii="DecimaWE Rg" w:hAnsi="DecimaWE Rg"/>
          <w:bCs/>
          <w:iCs/>
          <w:sz w:val="22"/>
          <w:szCs w:val="22"/>
        </w:rPr>
      </w:pPr>
    </w:p>
    <w:p w14:paraId="1C4D90F4" w14:textId="75B39E71" w:rsidR="003D2620" w:rsidRDefault="003D2620" w:rsidP="002B78D8">
      <w:pPr>
        <w:shd w:val="clear" w:color="auto" w:fill="FFFFFF"/>
        <w:ind w:right="360"/>
        <w:jc w:val="both"/>
        <w:rPr>
          <w:rFonts w:ascii="DecimaWE Rg" w:hAnsi="DecimaWE Rg"/>
          <w:bCs/>
          <w:iCs/>
          <w:sz w:val="22"/>
          <w:szCs w:val="22"/>
        </w:rPr>
      </w:pPr>
    </w:p>
    <w:p w14:paraId="378D1CD9" w14:textId="3B98856D" w:rsidR="003D2620" w:rsidRDefault="003D2620" w:rsidP="002B78D8">
      <w:pPr>
        <w:shd w:val="clear" w:color="auto" w:fill="FFFFFF"/>
        <w:ind w:right="360"/>
        <w:jc w:val="both"/>
        <w:rPr>
          <w:rFonts w:ascii="DecimaWE Rg" w:hAnsi="DecimaWE Rg"/>
          <w:bCs/>
          <w:iCs/>
          <w:sz w:val="22"/>
          <w:szCs w:val="22"/>
        </w:rPr>
      </w:pPr>
    </w:p>
    <w:p w14:paraId="305C5ACA" w14:textId="4962CED3" w:rsidR="003D2620" w:rsidRDefault="003D2620" w:rsidP="002B78D8">
      <w:pPr>
        <w:shd w:val="clear" w:color="auto" w:fill="FFFFFF"/>
        <w:ind w:right="360"/>
        <w:jc w:val="both"/>
        <w:rPr>
          <w:rFonts w:ascii="DecimaWE Rg" w:hAnsi="DecimaWE Rg"/>
          <w:bCs/>
          <w:iCs/>
          <w:sz w:val="22"/>
          <w:szCs w:val="22"/>
        </w:rPr>
      </w:pPr>
    </w:p>
    <w:p w14:paraId="6EA55F6C" w14:textId="77777777" w:rsidR="002B3B24" w:rsidRDefault="002B3B24" w:rsidP="002B78D8">
      <w:pPr>
        <w:shd w:val="clear" w:color="auto" w:fill="FFFFFF"/>
        <w:ind w:right="360"/>
        <w:jc w:val="both"/>
        <w:rPr>
          <w:rFonts w:ascii="DecimaWE Rg" w:hAnsi="DecimaWE Rg"/>
          <w:bCs/>
          <w:iCs/>
          <w:sz w:val="22"/>
          <w:szCs w:val="22"/>
        </w:rPr>
      </w:pPr>
    </w:p>
    <w:p w14:paraId="6CBD7158" w14:textId="479AE01F" w:rsidR="008932FC" w:rsidRDefault="008932FC" w:rsidP="003F36ED">
      <w:pPr>
        <w:pStyle w:val="NormaleWeb"/>
        <w:spacing w:before="0" w:beforeAutospacing="0" w:after="0" w:afterAutospacing="0"/>
        <w:rPr>
          <w:rFonts w:ascii="DecimaWE Rg" w:eastAsiaTheme="minorEastAsia" w:hAnsi="DecimaWE Rg" w:cstheme="minorBidi"/>
          <w:b/>
          <w:bCs/>
          <w:color w:val="000000" w:themeColor="text1"/>
          <w:kern w:val="24"/>
        </w:rPr>
      </w:pPr>
    </w:p>
    <w:p w14:paraId="5A851144" w14:textId="089F7D5A" w:rsidR="008932FC" w:rsidRPr="00B14083" w:rsidRDefault="008932FC" w:rsidP="003D2620">
      <w:pPr>
        <w:jc w:val="both"/>
        <w:rPr>
          <w:rFonts w:ascii="DecimaWE Rg" w:eastAsiaTheme="minorEastAsia" w:hAnsi="DecimaWE Rg" w:cstheme="minorBidi"/>
          <w:color w:val="000000" w:themeColor="text1"/>
          <w:kern w:val="24"/>
          <w:sz w:val="22"/>
        </w:rPr>
      </w:pPr>
    </w:p>
    <w:sectPr w:rsidR="008932FC" w:rsidRPr="00B1408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C43BA" w14:textId="77777777" w:rsidR="00F0634C" w:rsidRDefault="00F0634C" w:rsidP="00AD0DF5">
      <w:r>
        <w:separator/>
      </w:r>
    </w:p>
  </w:endnote>
  <w:endnote w:type="continuationSeparator" w:id="0">
    <w:p w14:paraId="2FAE58DA" w14:textId="77777777" w:rsidR="00F0634C" w:rsidRDefault="00F0634C" w:rsidP="00AD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altName w:val="Calibri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5C76C" w14:textId="77777777" w:rsidR="0027131F" w:rsidRPr="0027131F" w:rsidRDefault="0027131F" w:rsidP="008E56AE">
    <w:pPr>
      <w:pStyle w:val="Pidipagina"/>
      <w:jc w:val="right"/>
      <w:rPr>
        <w:rFonts w:ascii="DecimaWE Rg" w:hAnsi="DecimaWE Rg"/>
      </w:rPr>
    </w:pPr>
  </w:p>
  <w:p w14:paraId="22706010" w14:textId="77777777" w:rsidR="0027131F" w:rsidRPr="0027131F" w:rsidRDefault="0027131F">
    <w:pPr>
      <w:pStyle w:val="Pidipagina"/>
      <w:rPr>
        <w:rFonts w:ascii="DecimaWE Rg" w:hAnsi="DecimaWE R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12C30" w14:textId="77777777" w:rsidR="00F0634C" w:rsidRDefault="00F0634C" w:rsidP="00AD0DF5">
      <w:r>
        <w:separator/>
      </w:r>
    </w:p>
  </w:footnote>
  <w:footnote w:type="continuationSeparator" w:id="0">
    <w:p w14:paraId="48ECA32E" w14:textId="77777777" w:rsidR="00F0634C" w:rsidRDefault="00F0634C" w:rsidP="00AD0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C7E8F" w14:textId="77777777" w:rsidR="00AD0DF5" w:rsidRPr="00AD0DF5" w:rsidRDefault="00AD0DF5" w:rsidP="00AD0DF5">
    <w:pPr>
      <w:pStyle w:val="Intestazione"/>
      <w:rPr>
        <w:rFonts w:ascii="DecimaWE Rg" w:hAnsi="DecimaWE Rg"/>
        <w:i/>
        <w:sz w:val="20"/>
      </w:rPr>
    </w:pPr>
    <w:r w:rsidRPr="00AD0DF5">
      <w:rPr>
        <w:rFonts w:ascii="DecimaWE Rg" w:hAnsi="DecimaWE Rg"/>
        <w:i/>
        <w:noProof/>
        <w:sz w:val="20"/>
      </w:rPr>
      <w:drawing>
        <wp:anchor distT="0" distB="0" distL="114300" distR="114300" simplePos="0" relativeHeight="251658240" behindDoc="0" locked="0" layoutInCell="1" allowOverlap="1" wp14:anchorId="0368D86B" wp14:editId="6843323F">
          <wp:simplePos x="0" y="0"/>
          <wp:positionH relativeFrom="column">
            <wp:posOffset>-123660</wp:posOffset>
          </wp:positionH>
          <wp:positionV relativeFrom="paragraph">
            <wp:posOffset>-115957</wp:posOffset>
          </wp:positionV>
          <wp:extent cx="2082800" cy="467360"/>
          <wp:effectExtent l="0" t="0" r="0" b="8890"/>
          <wp:wrapSquare wrapText="bothSides"/>
          <wp:docPr id="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8241" b="26852" l="33281" r="53854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50" t="17596" r="47439" b="75373"/>
                  <a:stretch/>
                </pic:blipFill>
                <pic:spPr>
                  <a:xfrm>
                    <a:off x="0" y="0"/>
                    <a:ext cx="2082800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CFE46D" w14:textId="77777777" w:rsidR="00AD0DF5" w:rsidRDefault="006E3E15" w:rsidP="00AD0DF5">
    <w:pPr>
      <w:pStyle w:val="Intestazione"/>
      <w:jc w:val="right"/>
      <w:rPr>
        <w:rFonts w:ascii="DecimaWE Rg" w:hAnsi="DecimaWE Rg"/>
        <w:i/>
        <w:sz w:val="20"/>
      </w:rPr>
    </w:pPr>
    <w:r>
      <w:rPr>
        <w:rFonts w:ascii="DecimaWE Rg" w:hAnsi="DecimaWE Rg"/>
        <w:i/>
        <w:sz w:val="20"/>
      </w:rPr>
      <w:t>Mercoledì 14</w:t>
    </w:r>
    <w:r w:rsidR="00AD0DF5" w:rsidRPr="00AD0DF5">
      <w:rPr>
        <w:rFonts w:ascii="DecimaWE Rg" w:hAnsi="DecimaWE Rg"/>
        <w:i/>
        <w:sz w:val="20"/>
      </w:rPr>
      <w:t xml:space="preserve"> </w:t>
    </w:r>
    <w:r>
      <w:rPr>
        <w:rFonts w:ascii="DecimaWE Rg" w:hAnsi="DecimaWE Rg"/>
        <w:i/>
        <w:sz w:val="20"/>
      </w:rPr>
      <w:t>maggio 2025</w:t>
    </w:r>
  </w:p>
  <w:p w14:paraId="3B7B1771" w14:textId="77777777" w:rsidR="008F469C" w:rsidRDefault="008F469C" w:rsidP="00AD0DF5">
    <w:pPr>
      <w:pStyle w:val="Intestazione"/>
      <w:jc w:val="right"/>
      <w:rPr>
        <w:rFonts w:ascii="DecimaWE Rg" w:hAnsi="DecimaWE Rg"/>
        <w:i/>
        <w:sz w:val="20"/>
      </w:rPr>
    </w:pPr>
    <w:r>
      <w:rPr>
        <w:rFonts w:ascii="DecimaWE Rg" w:hAnsi="DecimaWE Rg"/>
        <w:i/>
        <w:sz w:val="20"/>
      </w:rPr>
      <w:t>Università degli Studi di Trieste</w:t>
    </w:r>
  </w:p>
  <w:p w14:paraId="7C3F2ED3" w14:textId="77777777" w:rsidR="00D1684C" w:rsidRDefault="006E3E15" w:rsidP="008F469C">
    <w:pPr>
      <w:pStyle w:val="Intestazione"/>
      <w:jc w:val="right"/>
      <w:rPr>
        <w:rFonts w:ascii="DecimaWE Rg" w:hAnsi="DecimaWE Rg"/>
        <w:i/>
        <w:sz w:val="20"/>
      </w:rPr>
    </w:pPr>
    <w:r>
      <w:rPr>
        <w:rFonts w:ascii="DecimaWE Rg" w:hAnsi="DecimaWE Rg"/>
        <w:i/>
        <w:sz w:val="20"/>
      </w:rPr>
      <w:t>Corso di Laurea in Farmacia</w:t>
    </w:r>
  </w:p>
  <w:p w14:paraId="1EF4609F" w14:textId="77777777" w:rsidR="006E3E15" w:rsidRPr="00AD0DF5" w:rsidRDefault="006E3E15" w:rsidP="008F469C">
    <w:pPr>
      <w:pStyle w:val="Intestazione"/>
      <w:jc w:val="right"/>
      <w:rPr>
        <w:rFonts w:ascii="DecimaWE Rg" w:hAnsi="DecimaWE Rg"/>
        <w:i/>
        <w:sz w:val="20"/>
      </w:rPr>
    </w:pPr>
    <w:r>
      <w:rPr>
        <w:rFonts w:ascii="DecimaWE Rg" w:hAnsi="DecimaWE Rg"/>
        <w:i/>
        <w:sz w:val="20"/>
      </w:rPr>
      <w:t>L</w:t>
    </w:r>
    <w:r w:rsidRPr="006E3E15">
      <w:rPr>
        <w:rFonts w:ascii="DecimaWE Rg" w:hAnsi="DecimaWE Rg"/>
        <w:i/>
        <w:sz w:val="20"/>
      </w:rPr>
      <w:t>egislazione e deontologia farmaceutica (059fa)</w:t>
    </w:r>
  </w:p>
  <w:p w14:paraId="202B72EE" w14:textId="64DEEBFB" w:rsidR="00AD0DF5" w:rsidRPr="008F469C" w:rsidRDefault="0004045B" w:rsidP="00AD0DF5">
    <w:pPr>
      <w:pStyle w:val="Intestazione"/>
      <w:jc w:val="right"/>
      <w:rPr>
        <w:rFonts w:ascii="DecimaWE Rg" w:hAnsi="DecimaWE Rg"/>
        <w:b/>
        <w:i/>
        <w:sz w:val="20"/>
      </w:rPr>
    </w:pPr>
    <w:r>
      <w:rPr>
        <w:rFonts w:ascii="DecimaWE Rg" w:hAnsi="DecimaWE Rg"/>
        <w:b/>
        <w:i/>
        <w:sz w:val="20"/>
      </w:rPr>
      <w:t xml:space="preserve">ESERCITAZIONE </w:t>
    </w:r>
    <w:r w:rsidR="006E3E15" w:rsidRPr="006E3E15">
      <w:rPr>
        <w:rFonts w:ascii="DecimaWE Rg" w:hAnsi="DecimaWE Rg"/>
        <w:b/>
        <w:i/>
        <w:sz w:val="20"/>
      </w:rPr>
      <w:t>-</w:t>
    </w:r>
    <w:r w:rsidR="006E3E15">
      <w:rPr>
        <w:rFonts w:ascii="DecimaWE Rg" w:hAnsi="DecimaWE Rg"/>
        <w:b/>
        <w:i/>
        <w:sz w:val="20"/>
      </w:rPr>
      <w:t xml:space="preserve"> </w:t>
    </w:r>
    <w:r w:rsidR="006E3E15" w:rsidRPr="006E3E15">
      <w:rPr>
        <w:rFonts w:ascii="DecimaWE Rg" w:hAnsi="DecimaWE Rg"/>
        <w:b/>
        <w:i/>
        <w:sz w:val="20"/>
      </w:rPr>
      <w:t>Farmacovigilanza</w:t>
    </w:r>
  </w:p>
  <w:p w14:paraId="3DE4CCA8" w14:textId="77777777" w:rsidR="00AD0DF5" w:rsidRPr="00AD0DF5" w:rsidRDefault="00AD0DF5" w:rsidP="00AD0DF5">
    <w:pPr>
      <w:pStyle w:val="Intestazione"/>
      <w:jc w:val="right"/>
      <w:rPr>
        <w:rFonts w:ascii="DecimaWE Rg" w:hAnsi="DecimaWE Rg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CE1"/>
    <w:multiLevelType w:val="multilevel"/>
    <w:tmpl w:val="512C53C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DecimaWE Rg" w:eastAsiaTheme="minorHAnsi" w:hAnsi="DecimaWE Rg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15673F1"/>
    <w:multiLevelType w:val="hybridMultilevel"/>
    <w:tmpl w:val="4606DB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10DBA"/>
    <w:multiLevelType w:val="hybridMultilevel"/>
    <w:tmpl w:val="E7ECC4F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527CFF"/>
    <w:multiLevelType w:val="hybridMultilevel"/>
    <w:tmpl w:val="24649AAC"/>
    <w:lvl w:ilvl="0" w:tplc="23749FB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5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43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36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-29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-22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-14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-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-42" w:hanging="360"/>
      </w:pPr>
      <w:rPr>
        <w:rFonts w:ascii="Wingdings" w:hAnsi="Wingdings" w:hint="default"/>
      </w:rPr>
    </w:lvl>
  </w:abstractNum>
  <w:abstractNum w:abstractNumId="4" w15:restartNumberingAfterBreak="0">
    <w:nsid w:val="1BB523E4"/>
    <w:multiLevelType w:val="hybridMultilevel"/>
    <w:tmpl w:val="53FAF19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6938A8"/>
    <w:multiLevelType w:val="hybridMultilevel"/>
    <w:tmpl w:val="8E26BA76"/>
    <w:lvl w:ilvl="0" w:tplc="0410000B">
      <w:start w:val="1"/>
      <w:numFmt w:val="bullet"/>
      <w:lvlText w:val=""/>
      <w:lvlJc w:val="left"/>
      <w:pPr>
        <w:ind w:left="7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 w15:restartNumberingAfterBreak="0">
    <w:nsid w:val="24767D3F"/>
    <w:multiLevelType w:val="hybridMultilevel"/>
    <w:tmpl w:val="77F67360"/>
    <w:lvl w:ilvl="0" w:tplc="28DE10D8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8" w:hanging="360"/>
      </w:pPr>
    </w:lvl>
    <w:lvl w:ilvl="2" w:tplc="0410001B" w:tentative="1">
      <w:start w:val="1"/>
      <w:numFmt w:val="lowerRoman"/>
      <w:lvlText w:val="%3."/>
      <w:lvlJc w:val="right"/>
      <w:pPr>
        <w:ind w:left="1878" w:hanging="180"/>
      </w:pPr>
    </w:lvl>
    <w:lvl w:ilvl="3" w:tplc="0410000F" w:tentative="1">
      <w:start w:val="1"/>
      <w:numFmt w:val="decimal"/>
      <w:lvlText w:val="%4."/>
      <w:lvlJc w:val="left"/>
      <w:pPr>
        <w:ind w:left="2598" w:hanging="360"/>
      </w:pPr>
    </w:lvl>
    <w:lvl w:ilvl="4" w:tplc="04100019" w:tentative="1">
      <w:start w:val="1"/>
      <w:numFmt w:val="lowerLetter"/>
      <w:lvlText w:val="%5."/>
      <w:lvlJc w:val="left"/>
      <w:pPr>
        <w:ind w:left="3318" w:hanging="360"/>
      </w:pPr>
    </w:lvl>
    <w:lvl w:ilvl="5" w:tplc="0410001B" w:tentative="1">
      <w:start w:val="1"/>
      <w:numFmt w:val="lowerRoman"/>
      <w:lvlText w:val="%6."/>
      <w:lvlJc w:val="right"/>
      <w:pPr>
        <w:ind w:left="4038" w:hanging="180"/>
      </w:pPr>
    </w:lvl>
    <w:lvl w:ilvl="6" w:tplc="0410000F" w:tentative="1">
      <w:start w:val="1"/>
      <w:numFmt w:val="decimal"/>
      <w:lvlText w:val="%7."/>
      <w:lvlJc w:val="left"/>
      <w:pPr>
        <w:ind w:left="4758" w:hanging="360"/>
      </w:pPr>
    </w:lvl>
    <w:lvl w:ilvl="7" w:tplc="04100019" w:tentative="1">
      <w:start w:val="1"/>
      <w:numFmt w:val="lowerLetter"/>
      <w:lvlText w:val="%8."/>
      <w:lvlJc w:val="left"/>
      <w:pPr>
        <w:ind w:left="5478" w:hanging="360"/>
      </w:pPr>
    </w:lvl>
    <w:lvl w:ilvl="8" w:tplc="0410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7" w15:restartNumberingAfterBreak="0">
    <w:nsid w:val="26F7027D"/>
    <w:multiLevelType w:val="hybridMultilevel"/>
    <w:tmpl w:val="D8FE0FF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31E43EE5"/>
    <w:multiLevelType w:val="hybridMultilevel"/>
    <w:tmpl w:val="831A209A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43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843A26"/>
    <w:multiLevelType w:val="hybridMultilevel"/>
    <w:tmpl w:val="F4C8256E"/>
    <w:lvl w:ilvl="0" w:tplc="419A1062">
      <w:start w:val="1"/>
      <w:numFmt w:val="upperLetter"/>
      <w:lvlText w:val="%1."/>
      <w:lvlJc w:val="left"/>
      <w:pPr>
        <w:ind w:left="720" w:hanging="360"/>
      </w:pPr>
      <w:rPr>
        <w:rFonts w:ascii="DecimaWE Rg" w:eastAsiaTheme="majorEastAsia" w:hAnsi="DecimaWE Rg" w:cstheme="majorBidi" w:hint="default"/>
        <w:color w:val="2E74B5" w:themeColor="accent1" w:themeShade="BF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42B92"/>
    <w:multiLevelType w:val="hybridMultilevel"/>
    <w:tmpl w:val="54ACA6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27916"/>
    <w:multiLevelType w:val="hybridMultilevel"/>
    <w:tmpl w:val="CFFC7F04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43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7E0B9F"/>
    <w:multiLevelType w:val="hybridMultilevel"/>
    <w:tmpl w:val="D8FE0FF2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F35CC"/>
    <w:multiLevelType w:val="hybridMultilevel"/>
    <w:tmpl w:val="0D889FB4"/>
    <w:lvl w:ilvl="0" w:tplc="398890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10971"/>
    <w:multiLevelType w:val="multilevel"/>
    <w:tmpl w:val="C4DE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316D9D"/>
    <w:multiLevelType w:val="hybridMultilevel"/>
    <w:tmpl w:val="C93C9E6A"/>
    <w:lvl w:ilvl="0" w:tplc="B7780C64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8" w:hanging="360"/>
      </w:pPr>
    </w:lvl>
    <w:lvl w:ilvl="2" w:tplc="0410001B" w:tentative="1">
      <w:start w:val="1"/>
      <w:numFmt w:val="lowerRoman"/>
      <w:lvlText w:val="%3."/>
      <w:lvlJc w:val="right"/>
      <w:pPr>
        <w:ind w:left="1878" w:hanging="180"/>
      </w:pPr>
    </w:lvl>
    <w:lvl w:ilvl="3" w:tplc="0410000F" w:tentative="1">
      <w:start w:val="1"/>
      <w:numFmt w:val="decimal"/>
      <w:lvlText w:val="%4."/>
      <w:lvlJc w:val="left"/>
      <w:pPr>
        <w:ind w:left="2598" w:hanging="360"/>
      </w:pPr>
    </w:lvl>
    <w:lvl w:ilvl="4" w:tplc="04100019" w:tentative="1">
      <w:start w:val="1"/>
      <w:numFmt w:val="lowerLetter"/>
      <w:lvlText w:val="%5."/>
      <w:lvlJc w:val="left"/>
      <w:pPr>
        <w:ind w:left="3318" w:hanging="360"/>
      </w:pPr>
    </w:lvl>
    <w:lvl w:ilvl="5" w:tplc="0410001B" w:tentative="1">
      <w:start w:val="1"/>
      <w:numFmt w:val="lowerRoman"/>
      <w:lvlText w:val="%6."/>
      <w:lvlJc w:val="right"/>
      <w:pPr>
        <w:ind w:left="4038" w:hanging="180"/>
      </w:pPr>
    </w:lvl>
    <w:lvl w:ilvl="6" w:tplc="0410000F" w:tentative="1">
      <w:start w:val="1"/>
      <w:numFmt w:val="decimal"/>
      <w:lvlText w:val="%7."/>
      <w:lvlJc w:val="left"/>
      <w:pPr>
        <w:ind w:left="4758" w:hanging="360"/>
      </w:pPr>
    </w:lvl>
    <w:lvl w:ilvl="7" w:tplc="04100019" w:tentative="1">
      <w:start w:val="1"/>
      <w:numFmt w:val="lowerLetter"/>
      <w:lvlText w:val="%8."/>
      <w:lvlJc w:val="left"/>
      <w:pPr>
        <w:ind w:left="5478" w:hanging="360"/>
      </w:pPr>
    </w:lvl>
    <w:lvl w:ilvl="8" w:tplc="0410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6" w15:restartNumberingAfterBreak="0">
    <w:nsid w:val="690541DD"/>
    <w:multiLevelType w:val="hybridMultilevel"/>
    <w:tmpl w:val="1C182DE0"/>
    <w:lvl w:ilvl="0" w:tplc="2F5EA42C">
      <w:start w:val="1"/>
      <w:numFmt w:val="bullet"/>
      <w:lvlText w:val="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  <w:lvl w:ilvl="1" w:tplc="AA38A9E2" w:tentative="1">
      <w:start w:val="1"/>
      <w:numFmt w:val="bullet"/>
      <w:lvlText w:val=""/>
      <w:lvlJc w:val="left"/>
      <w:pPr>
        <w:tabs>
          <w:tab w:val="num" w:pos="7602"/>
        </w:tabs>
        <w:ind w:left="7602" w:hanging="360"/>
      </w:pPr>
      <w:rPr>
        <w:rFonts w:ascii="Wingdings" w:hAnsi="Wingdings" w:hint="default"/>
      </w:rPr>
    </w:lvl>
    <w:lvl w:ilvl="2" w:tplc="CFF8E73A" w:tentative="1">
      <w:start w:val="1"/>
      <w:numFmt w:val="bullet"/>
      <w:lvlText w:val=""/>
      <w:lvlJc w:val="left"/>
      <w:pPr>
        <w:tabs>
          <w:tab w:val="num" w:pos="8322"/>
        </w:tabs>
        <w:ind w:left="8322" w:hanging="360"/>
      </w:pPr>
      <w:rPr>
        <w:rFonts w:ascii="Wingdings" w:hAnsi="Wingdings" w:hint="default"/>
      </w:rPr>
    </w:lvl>
    <w:lvl w:ilvl="3" w:tplc="1A8E1098" w:tentative="1">
      <w:start w:val="1"/>
      <w:numFmt w:val="bullet"/>
      <w:lvlText w:val=""/>
      <w:lvlJc w:val="left"/>
      <w:pPr>
        <w:tabs>
          <w:tab w:val="num" w:pos="9042"/>
        </w:tabs>
        <w:ind w:left="9042" w:hanging="360"/>
      </w:pPr>
      <w:rPr>
        <w:rFonts w:ascii="Wingdings" w:hAnsi="Wingdings" w:hint="default"/>
      </w:rPr>
    </w:lvl>
    <w:lvl w:ilvl="4" w:tplc="EC144046" w:tentative="1">
      <w:start w:val="1"/>
      <w:numFmt w:val="bullet"/>
      <w:lvlText w:val=""/>
      <w:lvlJc w:val="left"/>
      <w:pPr>
        <w:tabs>
          <w:tab w:val="num" w:pos="9762"/>
        </w:tabs>
        <w:ind w:left="9762" w:hanging="360"/>
      </w:pPr>
      <w:rPr>
        <w:rFonts w:ascii="Wingdings" w:hAnsi="Wingdings" w:hint="default"/>
      </w:rPr>
    </w:lvl>
    <w:lvl w:ilvl="5" w:tplc="51103F1A" w:tentative="1">
      <w:start w:val="1"/>
      <w:numFmt w:val="bullet"/>
      <w:lvlText w:val=""/>
      <w:lvlJc w:val="left"/>
      <w:pPr>
        <w:tabs>
          <w:tab w:val="num" w:pos="10482"/>
        </w:tabs>
        <w:ind w:left="10482" w:hanging="360"/>
      </w:pPr>
      <w:rPr>
        <w:rFonts w:ascii="Wingdings" w:hAnsi="Wingdings" w:hint="default"/>
      </w:rPr>
    </w:lvl>
    <w:lvl w:ilvl="6" w:tplc="4D66D504" w:tentative="1">
      <w:start w:val="1"/>
      <w:numFmt w:val="bullet"/>
      <w:lvlText w:val=""/>
      <w:lvlJc w:val="left"/>
      <w:pPr>
        <w:tabs>
          <w:tab w:val="num" w:pos="11202"/>
        </w:tabs>
        <w:ind w:left="11202" w:hanging="360"/>
      </w:pPr>
      <w:rPr>
        <w:rFonts w:ascii="Wingdings" w:hAnsi="Wingdings" w:hint="default"/>
      </w:rPr>
    </w:lvl>
    <w:lvl w:ilvl="7" w:tplc="8158A234" w:tentative="1">
      <w:start w:val="1"/>
      <w:numFmt w:val="bullet"/>
      <w:lvlText w:val=""/>
      <w:lvlJc w:val="left"/>
      <w:pPr>
        <w:tabs>
          <w:tab w:val="num" w:pos="11922"/>
        </w:tabs>
        <w:ind w:left="11922" w:hanging="360"/>
      </w:pPr>
      <w:rPr>
        <w:rFonts w:ascii="Wingdings" w:hAnsi="Wingdings" w:hint="default"/>
      </w:rPr>
    </w:lvl>
    <w:lvl w:ilvl="8" w:tplc="111814D0" w:tentative="1">
      <w:start w:val="1"/>
      <w:numFmt w:val="bullet"/>
      <w:lvlText w:val=""/>
      <w:lvlJc w:val="left"/>
      <w:pPr>
        <w:tabs>
          <w:tab w:val="num" w:pos="12642"/>
        </w:tabs>
        <w:ind w:left="12642" w:hanging="360"/>
      </w:pPr>
      <w:rPr>
        <w:rFonts w:ascii="Wingdings" w:hAnsi="Wingdings" w:hint="default"/>
      </w:rPr>
    </w:lvl>
  </w:abstractNum>
  <w:abstractNum w:abstractNumId="17" w15:restartNumberingAfterBreak="0">
    <w:nsid w:val="6A534005"/>
    <w:multiLevelType w:val="hybridMultilevel"/>
    <w:tmpl w:val="642C7800"/>
    <w:lvl w:ilvl="0" w:tplc="0410000F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8" w:hanging="360"/>
      </w:pPr>
    </w:lvl>
    <w:lvl w:ilvl="2" w:tplc="0410001B" w:tentative="1">
      <w:start w:val="1"/>
      <w:numFmt w:val="lowerRoman"/>
      <w:lvlText w:val="%3."/>
      <w:lvlJc w:val="right"/>
      <w:pPr>
        <w:ind w:left="1878" w:hanging="180"/>
      </w:pPr>
    </w:lvl>
    <w:lvl w:ilvl="3" w:tplc="0410000F" w:tentative="1">
      <w:start w:val="1"/>
      <w:numFmt w:val="decimal"/>
      <w:lvlText w:val="%4."/>
      <w:lvlJc w:val="left"/>
      <w:pPr>
        <w:ind w:left="2598" w:hanging="360"/>
      </w:pPr>
    </w:lvl>
    <w:lvl w:ilvl="4" w:tplc="04100019" w:tentative="1">
      <w:start w:val="1"/>
      <w:numFmt w:val="lowerLetter"/>
      <w:lvlText w:val="%5."/>
      <w:lvlJc w:val="left"/>
      <w:pPr>
        <w:ind w:left="3318" w:hanging="360"/>
      </w:pPr>
    </w:lvl>
    <w:lvl w:ilvl="5" w:tplc="0410001B" w:tentative="1">
      <w:start w:val="1"/>
      <w:numFmt w:val="lowerRoman"/>
      <w:lvlText w:val="%6."/>
      <w:lvlJc w:val="right"/>
      <w:pPr>
        <w:ind w:left="4038" w:hanging="180"/>
      </w:pPr>
    </w:lvl>
    <w:lvl w:ilvl="6" w:tplc="0410000F" w:tentative="1">
      <w:start w:val="1"/>
      <w:numFmt w:val="decimal"/>
      <w:lvlText w:val="%7."/>
      <w:lvlJc w:val="left"/>
      <w:pPr>
        <w:ind w:left="4758" w:hanging="360"/>
      </w:pPr>
    </w:lvl>
    <w:lvl w:ilvl="7" w:tplc="04100019" w:tentative="1">
      <w:start w:val="1"/>
      <w:numFmt w:val="lowerLetter"/>
      <w:lvlText w:val="%8."/>
      <w:lvlJc w:val="left"/>
      <w:pPr>
        <w:ind w:left="5478" w:hanging="360"/>
      </w:pPr>
    </w:lvl>
    <w:lvl w:ilvl="8" w:tplc="0410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8" w15:restartNumberingAfterBreak="0">
    <w:nsid w:val="782D1DF9"/>
    <w:multiLevelType w:val="hybridMultilevel"/>
    <w:tmpl w:val="0D889FB4"/>
    <w:lvl w:ilvl="0" w:tplc="398890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12"/>
  </w:num>
  <w:num w:numId="5">
    <w:abstractNumId w:val="10"/>
  </w:num>
  <w:num w:numId="6">
    <w:abstractNumId w:val="1"/>
  </w:num>
  <w:num w:numId="7">
    <w:abstractNumId w:val="2"/>
  </w:num>
  <w:num w:numId="8">
    <w:abstractNumId w:val="17"/>
  </w:num>
  <w:num w:numId="9">
    <w:abstractNumId w:val="5"/>
  </w:num>
  <w:num w:numId="10">
    <w:abstractNumId w:val="15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3"/>
  </w:num>
  <w:num w:numId="16">
    <w:abstractNumId w:val="6"/>
  </w:num>
  <w:num w:numId="17">
    <w:abstractNumId w:val="11"/>
  </w:num>
  <w:num w:numId="18">
    <w:abstractNumId w:val="8"/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F5"/>
    <w:rsid w:val="00007067"/>
    <w:rsid w:val="0003733C"/>
    <w:rsid w:val="0004045B"/>
    <w:rsid w:val="000D215F"/>
    <w:rsid w:val="000D377B"/>
    <w:rsid w:val="001051C9"/>
    <w:rsid w:val="00195E3C"/>
    <w:rsid w:val="001D5B24"/>
    <w:rsid w:val="002164EB"/>
    <w:rsid w:val="002260D4"/>
    <w:rsid w:val="0027131F"/>
    <w:rsid w:val="002B3B24"/>
    <w:rsid w:val="002B78D8"/>
    <w:rsid w:val="002D29C0"/>
    <w:rsid w:val="003471D0"/>
    <w:rsid w:val="00351500"/>
    <w:rsid w:val="003911E9"/>
    <w:rsid w:val="003B6544"/>
    <w:rsid w:val="003D2620"/>
    <w:rsid w:val="003F36ED"/>
    <w:rsid w:val="00422233"/>
    <w:rsid w:val="00423A54"/>
    <w:rsid w:val="004707F8"/>
    <w:rsid w:val="0047138A"/>
    <w:rsid w:val="004D4927"/>
    <w:rsid w:val="004F2AD5"/>
    <w:rsid w:val="004F4945"/>
    <w:rsid w:val="004F5F5E"/>
    <w:rsid w:val="00514C88"/>
    <w:rsid w:val="00523B7F"/>
    <w:rsid w:val="0055619D"/>
    <w:rsid w:val="00561DA7"/>
    <w:rsid w:val="00573647"/>
    <w:rsid w:val="00580E85"/>
    <w:rsid w:val="005E7316"/>
    <w:rsid w:val="005F31C2"/>
    <w:rsid w:val="00643EFF"/>
    <w:rsid w:val="00653AFE"/>
    <w:rsid w:val="006650EB"/>
    <w:rsid w:val="00671B07"/>
    <w:rsid w:val="00677110"/>
    <w:rsid w:val="00686452"/>
    <w:rsid w:val="006A180D"/>
    <w:rsid w:val="006A7EE4"/>
    <w:rsid w:val="006D02B0"/>
    <w:rsid w:val="006D1198"/>
    <w:rsid w:val="006E3E15"/>
    <w:rsid w:val="00706BEE"/>
    <w:rsid w:val="007529DA"/>
    <w:rsid w:val="00763B47"/>
    <w:rsid w:val="007A0DB9"/>
    <w:rsid w:val="007B049E"/>
    <w:rsid w:val="007D23AD"/>
    <w:rsid w:val="007F7E71"/>
    <w:rsid w:val="00810B86"/>
    <w:rsid w:val="00812A08"/>
    <w:rsid w:val="00847280"/>
    <w:rsid w:val="0085218E"/>
    <w:rsid w:val="00881DC6"/>
    <w:rsid w:val="008932FC"/>
    <w:rsid w:val="00893884"/>
    <w:rsid w:val="008A1AB2"/>
    <w:rsid w:val="008A5E27"/>
    <w:rsid w:val="008C4FC6"/>
    <w:rsid w:val="008E0EE3"/>
    <w:rsid w:val="008E56AE"/>
    <w:rsid w:val="008E607F"/>
    <w:rsid w:val="008F469C"/>
    <w:rsid w:val="009427BD"/>
    <w:rsid w:val="009566F3"/>
    <w:rsid w:val="00976DC9"/>
    <w:rsid w:val="009943D9"/>
    <w:rsid w:val="00996B15"/>
    <w:rsid w:val="009B0D50"/>
    <w:rsid w:val="009D3881"/>
    <w:rsid w:val="009E171C"/>
    <w:rsid w:val="00A043A0"/>
    <w:rsid w:val="00A23AA4"/>
    <w:rsid w:val="00A56EB0"/>
    <w:rsid w:val="00A71D2C"/>
    <w:rsid w:val="00AD0DF5"/>
    <w:rsid w:val="00AD7BB2"/>
    <w:rsid w:val="00AE21EA"/>
    <w:rsid w:val="00AE7738"/>
    <w:rsid w:val="00B14083"/>
    <w:rsid w:val="00BB3C40"/>
    <w:rsid w:val="00BB4755"/>
    <w:rsid w:val="00BC6805"/>
    <w:rsid w:val="00BC7F88"/>
    <w:rsid w:val="00BF61D5"/>
    <w:rsid w:val="00C34BD8"/>
    <w:rsid w:val="00C575AA"/>
    <w:rsid w:val="00C72FCD"/>
    <w:rsid w:val="00C933FC"/>
    <w:rsid w:val="00CB3E3D"/>
    <w:rsid w:val="00CB5828"/>
    <w:rsid w:val="00CC4F76"/>
    <w:rsid w:val="00CE59D1"/>
    <w:rsid w:val="00CF12BC"/>
    <w:rsid w:val="00D056CF"/>
    <w:rsid w:val="00D1684C"/>
    <w:rsid w:val="00D25F13"/>
    <w:rsid w:val="00D7264F"/>
    <w:rsid w:val="00DA0A55"/>
    <w:rsid w:val="00DA3348"/>
    <w:rsid w:val="00DB2C92"/>
    <w:rsid w:val="00DC3F88"/>
    <w:rsid w:val="00E313DA"/>
    <w:rsid w:val="00E6401C"/>
    <w:rsid w:val="00EA5DD9"/>
    <w:rsid w:val="00EC65F4"/>
    <w:rsid w:val="00F0634C"/>
    <w:rsid w:val="00F175FC"/>
    <w:rsid w:val="00F254E4"/>
    <w:rsid w:val="00F444EB"/>
    <w:rsid w:val="00F80008"/>
    <w:rsid w:val="00F95B0A"/>
    <w:rsid w:val="00FB08E3"/>
    <w:rsid w:val="00FC1159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C6D1"/>
  <w15:chartTrackingRefBased/>
  <w15:docId w15:val="{7EF7A4BB-2F5D-4B87-BCBE-79E66E93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0DF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0D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0D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0D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0DF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D0DF5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D0D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0DF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0D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0DF5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D0DF5"/>
    <w:pPr>
      <w:ind w:left="720"/>
    </w:pPr>
    <w:rPr>
      <w:rFonts w:ascii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BB3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80008"/>
    <w:pPr>
      <w:spacing w:before="100" w:beforeAutospacing="1" w:after="100" w:afterAutospacing="1"/>
    </w:pPr>
    <w:rPr>
      <w:rFonts w:eastAsia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0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083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1647</Words>
  <Characters>9392</Characters>
  <Application>Microsoft Office Word</Application>
  <DocSecurity>0</DocSecurity>
  <Lines>78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7</vt:i4>
      </vt:variant>
    </vt:vector>
  </HeadingPairs>
  <TitlesOfParts>
    <vt:vector size="8" baseType="lpstr">
      <vt:lpstr/>
      <vt:lpstr>FARMACOVIGILANZA</vt:lpstr>
      <vt:lpstr>    Il punto di vista del segnalatore</vt:lpstr>
      <vt:lpstr>    Il punto di vista del Centro Regionale di Farmacovigilanza (CRFV)</vt:lpstr>
      <vt:lpstr/>
      <vt:lpstr>VACCINOVIGILANZA</vt:lpstr>
      <vt:lpstr>    Il punto di vista del segnalatore</vt:lpstr>
      <vt:lpstr>    Il punto di vista del Centro Regionale di Farmacovigilanza (CRFV)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Zerio Marta</dc:creator>
  <cp:keywords/>
  <dc:description/>
  <cp:lastModifiedBy>Zerio Marta</cp:lastModifiedBy>
  <cp:revision>19</cp:revision>
  <cp:lastPrinted>2025-05-12T13:39:00Z</cp:lastPrinted>
  <dcterms:created xsi:type="dcterms:W3CDTF">2025-05-09T09:59:00Z</dcterms:created>
  <dcterms:modified xsi:type="dcterms:W3CDTF">2025-05-12T13:39:00Z</dcterms:modified>
</cp:coreProperties>
</file>