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5F9E" w14:textId="75B447F0" w:rsidR="00A31CCF" w:rsidRPr="00585474" w:rsidRDefault="00F434B3" w:rsidP="000C553E">
      <w:r>
        <w:t>(</w:t>
      </w:r>
      <w:r w:rsidRPr="00585474">
        <w:t xml:space="preserve">Alcuni) </w:t>
      </w:r>
      <w:r w:rsidR="00A31CCF" w:rsidRPr="000C553E">
        <w:rPr>
          <w:b/>
          <w:bCs/>
          <w:u w:val="single"/>
        </w:rPr>
        <w:t>POSSIBILI</w:t>
      </w:r>
      <w:r w:rsidR="00A31CCF" w:rsidRPr="00585474">
        <w:t xml:space="preserve"> TEMI</w:t>
      </w:r>
      <w:r w:rsidR="000C553E">
        <w:t xml:space="preserve"> (benvenute altre proposte)</w:t>
      </w:r>
      <w:r w:rsidR="002E4E5D" w:rsidRPr="00585474">
        <w:t xml:space="preserve"> per la discussione seminariale, seguono istruzioni</w:t>
      </w:r>
    </w:p>
    <w:p w14:paraId="062562E4" w14:textId="73B19DA0" w:rsidR="0072501B" w:rsidRPr="00902BFB" w:rsidRDefault="0072501B" w:rsidP="00902BFB">
      <w:pPr>
        <w:pStyle w:val="Paragrafoelenco"/>
        <w:numPr>
          <w:ilvl w:val="0"/>
          <w:numId w:val="1"/>
        </w:numPr>
        <w:spacing w:after="40"/>
        <w:ind w:left="714" w:hanging="357"/>
        <w:rPr>
          <w:b/>
        </w:rPr>
      </w:pPr>
      <w:r w:rsidRPr="00902BFB">
        <w:t>Sentenze Cassazione e Corte di giustizia</w:t>
      </w:r>
      <w:r w:rsidR="003F00E9" w:rsidRPr="00902BFB">
        <w:t xml:space="preserve"> (CGUE, 6 novembre 2018, cause riunite C-622/16 P - C-623/16 P, C-624/16 P)</w:t>
      </w:r>
      <w:r w:rsidRPr="00902BFB">
        <w:t xml:space="preserve"> su esenzioni dalle imposte sugli immobili per alberghi e scuole </w:t>
      </w:r>
      <w:r w:rsidR="00A31CCF" w:rsidRPr="00902BFB">
        <w:t>di orientamento religioso e recenti proposte di legge</w:t>
      </w:r>
      <w:r w:rsidR="00747650" w:rsidRPr="00902BFB">
        <w:t xml:space="preserve"> </w:t>
      </w:r>
    </w:p>
    <w:p w14:paraId="634F6771" w14:textId="73D6F49C" w:rsidR="0072501B" w:rsidRPr="00902BFB" w:rsidRDefault="0072501B" w:rsidP="00902BFB">
      <w:pPr>
        <w:pStyle w:val="Paragrafoelenco"/>
        <w:numPr>
          <w:ilvl w:val="0"/>
          <w:numId w:val="1"/>
        </w:numPr>
        <w:spacing w:after="40"/>
        <w:ind w:left="714" w:hanging="357"/>
      </w:pPr>
      <w:r w:rsidRPr="00902BFB">
        <w:t>Saga dell</w:t>
      </w:r>
      <w:r w:rsidR="003F00E9" w:rsidRPr="00902BFB">
        <w:t>’</w:t>
      </w:r>
      <w:r w:rsidRPr="00902BFB">
        <w:t>UAAR dal Tar Lazio</w:t>
      </w:r>
      <w:r w:rsidR="00A31CCF" w:rsidRPr="00902BFB">
        <w:t xml:space="preserve"> 2008, Consiglio di Stato (18 novembre 2011),</w:t>
      </w:r>
      <w:r w:rsidRPr="00902BFB">
        <w:t xml:space="preserve"> a</w:t>
      </w:r>
      <w:r w:rsidR="00A31CCF" w:rsidRPr="00902BFB">
        <w:t xml:space="preserve"> Corte cost</w:t>
      </w:r>
      <w:r w:rsidRPr="00902BFB">
        <w:t xml:space="preserve"> 52 2016.</w:t>
      </w:r>
    </w:p>
    <w:p w14:paraId="7840571A" w14:textId="5E649F24" w:rsidR="0072501B" w:rsidRPr="00902BFB" w:rsidRDefault="0072501B" w:rsidP="00902BFB">
      <w:pPr>
        <w:pStyle w:val="Paragrafoelenco"/>
        <w:numPr>
          <w:ilvl w:val="0"/>
          <w:numId w:val="1"/>
        </w:numPr>
        <w:spacing w:after="40"/>
        <w:ind w:left="714" w:hanging="357"/>
      </w:pPr>
      <w:r w:rsidRPr="00902BFB">
        <w:t>Diritto all'edificio di culto, tra riparto delle competenze e diritti fondamentali (sentenza Corte cost. n. 63/2016 - T.A.R. Lombardia, Milano, sez. II, sentenza 5.11.2018 n. 2480 [est. De Vita]</w:t>
      </w:r>
    </w:p>
    <w:p w14:paraId="11470269" w14:textId="53360390" w:rsidR="00CE48C4" w:rsidRPr="00902BFB" w:rsidRDefault="00CE48C4" w:rsidP="00902BFB">
      <w:pPr>
        <w:pStyle w:val="Paragrafoelenco"/>
        <w:numPr>
          <w:ilvl w:val="0"/>
          <w:numId w:val="1"/>
        </w:numPr>
        <w:spacing w:after="40"/>
        <w:ind w:left="714" w:hanging="357"/>
      </w:pPr>
      <w:r w:rsidRPr="00902BFB">
        <w:t>Kirpan in Italia (pugnale che il Sikh deve portare sempre con sé): compatibilità del porto di Kirpan con le norme dell’ordinamento italiano: Cass. pen., sez. I, 24084/2017; 24739 e 25163 del 2016  - vedi anche progetti di legge in tema)</w:t>
      </w:r>
      <w:r w:rsidR="009E7EBB" w:rsidRPr="00902BFB">
        <w:t xml:space="preserve"> </w:t>
      </w:r>
    </w:p>
    <w:p w14:paraId="451B8771" w14:textId="05C89853" w:rsidR="002775D3" w:rsidRPr="00902BFB" w:rsidRDefault="002775D3" w:rsidP="00902BFB">
      <w:pPr>
        <w:pStyle w:val="Paragrafoelenco"/>
        <w:numPr>
          <w:ilvl w:val="0"/>
          <w:numId w:val="1"/>
        </w:numPr>
        <w:spacing w:after="40"/>
        <w:ind w:left="714" w:hanging="357"/>
      </w:pPr>
      <w:r w:rsidRPr="00902BFB">
        <w:t>“Commercial speech” e tutela del sentimento religioso</w:t>
      </w:r>
      <w:r w:rsidR="00BF2C74" w:rsidRPr="00902BFB">
        <w:t xml:space="preserve"> (pubblicità e blasfemia)</w:t>
      </w:r>
      <w:r w:rsidRPr="00902BFB">
        <w:t>: Corte EDU, Sekmadienis Ltd c. Lituania (</w:t>
      </w:r>
      <w:hyperlink r:id="rId8" w:anchor="{%22itemid%22:[%22001-180506%22]}" w:history="1">
        <w:r w:rsidRPr="00902BFB">
          <w:rPr>
            <w:rStyle w:val="Collegamentoipertestuale"/>
          </w:rPr>
          <w:t>https://hudoc.echr.coe.int/fre#{%22itemid%22:[%22001-180506%22]}</w:t>
        </w:r>
      </w:hyperlink>
      <w:r w:rsidRPr="00902BFB">
        <w:t>)</w:t>
      </w:r>
      <w:r w:rsidR="00BE420E" w:rsidRPr="00902BFB">
        <w:t xml:space="preserve"> </w:t>
      </w:r>
    </w:p>
    <w:p w14:paraId="14F022DF" w14:textId="4483DCD5" w:rsidR="00F60E4A" w:rsidRPr="00902BFB" w:rsidRDefault="00F60E4A" w:rsidP="00902BFB">
      <w:pPr>
        <w:pStyle w:val="Paragrafoelenco"/>
        <w:numPr>
          <w:ilvl w:val="0"/>
          <w:numId w:val="1"/>
        </w:numPr>
        <w:spacing w:after="40"/>
        <w:ind w:left="714" w:hanging="357"/>
      </w:pPr>
      <w:r w:rsidRPr="00902BFB">
        <w:t xml:space="preserve">Sentenza della Corte </w:t>
      </w:r>
      <w:r w:rsidR="004668F2" w:rsidRPr="00902BFB">
        <w:t xml:space="preserve">di giustizia dell’UE </w:t>
      </w:r>
      <w:r w:rsidRPr="00902BFB">
        <w:t>(Grande Sezione) del 14 marzo 2017 Achbita –</w:t>
      </w:r>
      <w:r w:rsidR="004668F2" w:rsidRPr="00902BFB">
        <w:t xml:space="preserve"> nonché sentenza 15 luglio 2021,</w:t>
      </w:r>
      <w:r w:rsidRPr="00902BFB">
        <w:t xml:space="preserve"> </w:t>
      </w:r>
      <w:r w:rsidR="004668F2" w:rsidRPr="00902BFB">
        <w:t xml:space="preserve">C 804/18 and C 341/19 - </w:t>
      </w:r>
      <w:r w:rsidRPr="00902BFB">
        <w:t>Discriminazione sul luogo di lavoro, velo.</w:t>
      </w:r>
    </w:p>
    <w:p w14:paraId="58ECE3B0" w14:textId="63804F21" w:rsidR="002775D3" w:rsidRPr="00902BFB" w:rsidRDefault="002775D3" w:rsidP="00902BFB">
      <w:pPr>
        <w:pStyle w:val="Paragrafoelenco"/>
        <w:numPr>
          <w:ilvl w:val="0"/>
          <w:numId w:val="1"/>
        </w:numPr>
        <w:spacing w:after="40"/>
        <w:ind w:left="714" w:hanging="357"/>
      </w:pPr>
      <w:r w:rsidRPr="00902BFB">
        <w:t>Poligamia e ordinamento italiano: aspetti controversi, tutele “accessorie” (</w:t>
      </w:r>
      <w:r w:rsidR="003F32B1" w:rsidRPr="00902BFB">
        <w:t xml:space="preserve">ad es. </w:t>
      </w:r>
      <w:r w:rsidRPr="00902BFB">
        <w:t>Cass., civ., I sez., 1739/1999).</w:t>
      </w:r>
      <w:r w:rsidR="008D6E4C" w:rsidRPr="00902BFB">
        <w:t xml:space="preserve"> </w:t>
      </w:r>
    </w:p>
    <w:p w14:paraId="295DC84D" w14:textId="17CB22D3" w:rsidR="003F32B1" w:rsidRPr="00902BFB" w:rsidRDefault="003F32B1" w:rsidP="00902BFB">
      <w:pPr>
        <w:pStyle w:val="Paragrafoelenco"/>
        <w:numPr>
          <w:ilvl w:val="0"/>
          <w:numId w:val="1"/>
        </w:numPr>
        <w:spacing w:after="40"/>
        <w:ind w:left="714" w:hanging="357"/>
      </w:pPr>
      <w:r w:rsidRPr="00902BFB">
        <w:t>Uguaglianza tra coniugi in una società in trasformazione: il ruolo dell’immigrazione e delle religioni (Cass. pen., VI sez., 3398/1999, Cass. pen., VI sez., 55/2003; Cass. pen., sez. VI, 46300/2008; Cass. pen., III sez., 14960/2015)</w:t>
      </w:r>
    </w:p>
    <w:p w14:paraId="6703B425" w14:textId="05580662" w:rsidR="003F32B1" w:rsidRPr="00902BFB" w:rsidRDefault="003F32B1" w:rsidP="00902BFB">
      <w:pPr>
        <w:pStyle w:val="Paragrafoelenco"/>
        <w:numPr>
          <w:ilvl w:val="0"/>
          <w:numId w:val="1"/>
        </w:numPr>
        <w:spacing w:after="40"/>
        <w:ind w:left="714" w:hanging="357"/>
      </w:pPr>
      <w:r w:rsidRPr="00902BFB">
        <w:t>Il “ripudio” e gli effetti nello spazio giuridico europeo (Corte di giustizia, C-372/16)</w:t>
      </w:r>
      <w:r w:rsidR="00C94839" w:rsidRPr="00902BFB">
        <w:t xml:space="preserve"> </w:t>
      </w:r>
    </w:p>
    <w:p w14:paraId="0773E167" w14:textId="48572371" w:rsidR="003F32B1" w:rsidRPr="00902BFB" w:rsidRDefault="003F32B1" w:rsidP="00902BFB">
      <w:pPr>
        <w:pStyle w:val="Paragrafoelenco"/>
        <w:numPr>
          <w:ilvl w:val="0"/>
          <w:numId w:val="1"/>
        </w:numPr>
        <w:spacing w:after="40"/>
        <w:ind w:left="714" w:hanging="357"/>
      </w:pPr>
      <w:r w:rsidRPr="00902BFB">
        <w:t>La kafalah (istituto che ha lo scopo di fornire protezione e assistenza ai minori abbandonati senza creare rapporto di filiazione) rilevanza nell’ordinamento italiano (Cass. civ., sez. I, 1843/2015, Cass., sez. unite civ., 21108/2013)</w:t>
      </w:r>
      <w:r w:rsidR="00993C7C" w:rsidRPr="00902BFB">
        <w:t xml:space="preserve"> </w:t>
      </w:r>
    </w:p>
    <w:p w14:paraId="125725C7" w14:textId="27AC4429" w:rsidR="003F32B1" w:rsidRPr="00902BFB" w:rsidRDefault="003F32B1" w:rsidP="00902BFB">
      <w:pPr>
        <w:pStyle w:val="Paragrafoelenco"/>
        <w:numPr>
          <w:ilvl w:val="0"/>
          <w:numId w:val="1"/>
        </w:numPr>
        <w:spacing w:after="40"/>
        <w:ind w:left="714" w:hanging="357"/>
      </w:pPr>
      <w:r w:rsidRPr="00902BFB">
        <w:t>Mutilazioni genitali femminili (ad es. Corte app. Venezia, sez. II, 1485/2013</w:t>
      </w:r>
      <w:r w:rsidR="00F60E4A" w:rsidRPr="00902BFB">
        <w:t xml:space="preserve"> e poi legge 9 gennaio 2006, n. 7</w:t>
      </w:r>
      <w:r w:rsidRPr="00902BFB">
        <w:t>)</w:t>
      </w:r>
      <w:r w:rsidR="00993C7C" w:rsidRPr="00902BFB">
        <w:t xml:space="preserve"> </w:t>
      </w:r>
    </w:p>
    <w:p w14:paraId="3F6C3E22" w14:textId="2EC0D512" w:rsidR="003F32B1" w:rsidRPr="00902BFB" w:rsidRDefault="003F32B1" w:rsidP="00902BFB">
      <w:pPr>
        <w:pStyle w:val="Paragrafoelenco"/>
        <w:numPr>
          <w:ilvl w:val="0"/>
          <w:numId w:val="1"/>
        </w:numPr>
        <w:spacing w:after="40"/>
        <w:ind w:left="714" w:hanging="357"/>
      </w:pPr>
      <w:r w:rsidRPr="00902BFB">
        <w:t>Circoncisione (in particolar modo “circoncisione esotica…”; Cass. pen., VI sez., 43646/2011)</w:t>
      </w:r>
      <w:r w:rsidR="00DF7F21" w:rsidRPr="00902BFB">
        <w:t xml:space="preserve"> </w:t>
      </w:r>
    </w:p>
    <w:p w14:paraId="769F8F5D" w14:textId="798F1EAF" w:rsidR="003F32B1" w:rsidRPr="00902BFB" w:rsidRDefault="003F32B1" w:rsidP="00902BFB">
      <w:pPr>
        <w:pStyle w:val="Paragrafoelenco"/>
        <w:numPr>
          <w:ilvl w:val="0"/>
          <w:numId w:val="1"/>
        </w:numPr>
        <w:spacing w:after="40"/>
        <w:ind w:left="714" w:hanging="357"/>
      </w:pPr>
      <w:r w:rsidRPr="00902BFB">
        <w:t xml:space="preserve">Rilevanza di attenuanti “religiose” </w:t>
      </w:r>
      <w:r w:rsidR="001353D7" w:rsidRPr="00902BFB">
        <w:t xml:space="preserve">in giudizio: Cass. </w:t>
      </w:r>
      <w:r w:rsidR="00FD2463" w:rsidRPr="00902BFB">
        <w:t>pen., sez. II, sent. 29613/2018</w:t>
      </w:r>
      <w:r w:rsidR="00BE420E" w:rsidRPr="00902BFB">
        <w:t xml:space="preserve"> </w:t>
      </w:r>
    </w:p>
    <w:p w14:paraId="582DB3D6" w14:textId="5F24F423" w:rsidR="00FD2463" w:rsidRPr="00902BFB" w:rsidRDefault="00FD2463" w:rsidP="00902BFB">
      <w:pPr>
        <w:pStyle w:val="Paragrafoelenco"/>
        <w:numPr>
          <w:ilvl w:val="0"/>
          <w:numId w:val="1"/>
        </w:numPr>
        <w:spacing w:after="40"/>
        <w:ind w:left="714" w:hanging="357"/>
      </w:pPr>
      <w:r w:rsidRPr="00902BFB">
        <w:t>Hjiab e aule di giustizia (Caso Lachiri c Belgique, 18 settembre 2018 ma anche casi italiani – vedi praticante allontanata dall’udienza) TAR Emilia Romagna, gennaio 2018</w:t>
      </w:r>
      <w:r w:rsidR="00C94839" w:rsidRPr="00902BFB">
        <w:t xml:space="preserve"> </w:t>
      </w:r>
    </w:p>
    <w:p w14:paraId="4741584E" w14:textId="17FFB534" w:rsidR="00EA069D" w:rsidRPr="00902BFB" w:rsidRDefault="00EA069D" w:rsidP="00902BFB">
      <w:pPr>
        <w:pStyle w:val="Paragrafoelenco"/>
        <w:numPr>
          <w:ilvl w:val="0"/>
          <w:numId w:val="1"/>
        </w:numPr>
        <w:spacing w:after="40"/>
        <w:ind w:left="714" w:hanging="357"/>
      </w:pPr>
      <w:r w:rsidRPr="00902BFB">
        <w:t>Niqab e CEDU (Dakir c Belgique, 11 dicembre 2017)</w:t>
      </w:r>
      <w:r w:rsidR="00C94839" w:rsidRPr="00902BFB">
        <w:t xml:space="preserve"> </w:t>
      </w:r>
    </w:p>
    <w:p w14:paraId="7FBAAC58" w14:textId="02FCDC47" w:rsidR="000310F9" w:rsidRPr="00902BFB" w:rsidRDefault="000310F9" w:rsidP="000C553E">
      <w:pPr>
        <w:pStyle w:val="Paragrafoelenco"/>
        <w:numPr>
          <w:ilvl w:val="0"/>
          <w:numId w:val="1"/>
        </w:numPr>
        <w:spacing w:after="40"/>
        <w:ind w:left="714" w:hanging="357"/>
      </w:pPr>
      <w:r w:rsidRPr="00902BFB">
        <w:t>Finanziamento pubblico alla religione: 8*1000 e sue implicazioni (sulla base di diverse relazioni della Corte dei conti)</w:t>
      </w:r>
      <w:r w:rsidR="00747650" w:rsidRPr="00902BFB">
        <w:t xml:space="preserve"> </w:t>
      </w:r>
    </w:p>
    <w:p w14:paraId="33BB4783" w14:textId="7777EFAA" w:rsidR="000310F9" w:rsidRPr="00902BFB" w:rsidRDefault="000310F9" w:rsidP="00902BFB">
      <w:pPr>
        <w:pStyle w:val="Paragrafoelenco"/>
        <w:numPr>
          <w:ilvl w:val="0"/>
          <w:numId w:val="1"/>
        </w:numPr>
        <w:spacing w:after="40"/>
        <w:ind w:left="714" w:hanging="357"/>
      </w:pPr>
      <w:r w:rsidRPr="00902BFB">
        <w:t>Corte di giustizia, IX v. WABE eV e MH Müller Handels GmbH v. MJ, Cases C-804/18, C-341/19, CJUE (Grand Chamber), 15 July 2021, divieto di indossare il velo sul luogo di lavoro</w:t>
      </w:r>
    </w:p>
    <w:p w14:paraId="2DE06BA3" w14:textId="29F8D23A" w:rsidR="00BE420E" w:rsidRPr="00902BFB" w:rsidRDefault="00BE420E" w:rsidP="00902BFB">
      <w:pPr>
        <w:pStyle w:val="Paragrafoelenco"/>
        <w:numPr>
          <w:ilvl w:val="0"/>
          <w:numId w:val="1"/>
        </w:numPr>
        <w:spacing w:after="40"/>
        <w:ind w:left="714" w:hanging="357"/>
      </w:pPr>
      <w:r w:rsidRPr="00902BFB">
        <w:t xml:space="preserve">Lo Stato può decidere cos'è e cosa non è religione? Riflessione basata sull'utilizzo strumentale della religione a fini commerciali (O. Toscani e Corte EDU, Sekmadienis Ltd c. Lituania) ed a fini ridicolizzanti e/o anarchici (il pastafarianesimo)" </w:t>
      </w:r>
    </w:p>
    <w:p w14:paraId="396BC946" w14:textId="23F65395" w:rsidR="00BE420E" w:rsidRPr="00902BFB" w:rsidRDefault="00BE420E" w:rsidP="00902BFB">
      <w:pPr>
        <w:pStyle w:val="Paragrafoelenco"/>
        <w:numPr>
          <w:ilvl w:val="0"/>
          <w:numId w:val="1"/>
        </w:numPr>
        <w:spacing w:after="40"/>
        <w:ind w:left="714" w:hanging="357"/>
      </w:pPr>
      <w:r w:rsidRPr="00902BFB">
        <w:t xml:space="preserve">l'art. 404 cp, in particolar modo la nozione penalistica di "confessione religiosa", soffermando l'analisi anche sulla scelta dell'ordinamento italiano di reprimere comportamenti contrari al sentimento religioso </w:t>
      </w:r>
    </w:p>
    <w:p w14:paraId="66396CCA" w14:textId="3D1B2493" w:rsidR="004668F2" w:rsidRPr="00902BFB" w:rsidRDefault="004668F2" w:rsidP="00902BFB">
      <w:pPr>
        <w:pStyle w:val="Paragrafoelenco"/>
        <w:numPr>
          <w:ilvl w:val="0"/>
          <w:numId w:val="1"/>
        </w:numPr>
        <w:spacing w:after="40"/>
        <w:ind w:left="714" w:hanging="357"/>
      </w:pPr>
      <w:r w:rsidRPr="00902BFB">
        <w:t>Sentenza della Corte di giustizia dell’UE (Seconda Sezione), 29 ottobre 2020 causa C</w:t>
      </w:r>
      <w:r w:rsidRPr="00902BFB">
        <w:rPr>
          <w:rFonts w:ascii="Times New Roman" w:hAnsi="Times New Roman" w:cs="Times New Roman"/>
        </w:rPr>
        <w:t>‑</w:t>
      </w:r>
      <w:r w:rsidRPr="00902BFB">
        <w:t>243/19 – Cure ospedaliere prestate in uno Stato membro diverso dallo Stato membro di affiliazione – Rifiuto di autorizzazione preventiva – Cure ospedaliere che possono essere prestate efficacemente nello Stato membro di affiliazione – Articolo 21 della Carta dei diritti fondamentali dell’Unione europea – Differenza di trattamento fondata sulla religione – Rifiuto a effettuare trasfusione (Testimoni di Geova)</w:t>
      </w:r>
    </w:p>
    <w:p w14:paraId="4FF05217" w14:textId="089B443A" w:rsidR="00324592" w:rsidRPr="00902BFB" w:rsidRDefault="00324592" w:rsidP="00902BFB">
      <w:pPr>
        <w:pStyle w:val="Paragrafoelenco"/>
        <w:numPr>
          <w:ilvl w:val="0"/>
          <w:numId w:val="1"/>
        </w:numPr>
        <w:spacing w:after="40"/>
        <w:ind w:left="714" w:hanging="357"/>
      </w:pPr>
      <w:r w:rsidRPr="00902BFB">
        <w:t>Saga centro culturale islamico Darus Salam</w:t>
      </w:r>
      <w:r w:rsidR="00541FC6" w:rsidRPr="00902BFB">
        <w:t xml:space="preserve"> (</w:t>
      </w:r>
      <w:r w:rsidR="009B1679" w:rsidRPr="00902BFB">
        <w:t>M</w:t>
      </w:r>
      <w:r w:rsidR="00541FC6" w:rsidRPr="00902BFB">
        <w:t>onfalcone)</w:t>
      </w:r>
      <w:r w:rsidR="009B1679" w:rsidRPr="00902BFB">
        <w:t>: TAR FVG sentenza 27 giugno 2024</w:t>
      </w:r>
    </w:p>
    <w:p w14:paraId="4872EBA6" w14:textId="15698CE1" w:rsidR="000310F9" w:rsidRDefault="000310F9" w:rsidP="004668F2"/>
    <w:p w14:paraId="0FF9266C" w14:textId="02D408A2" w:rsidR="00BB2174" w:rsidRDefault="00BB2174" w:rsidP="00BB2174">
      <w:r>
        <w:t xml:space="preserve">Gli studenti sono invitati a inviare al docente </w:t>
      </w:r>
      <w:r w:rsidR="007C1BFB">
        <w:t xml:space="preserve">responsabile del corso </w:t>
      </w:r>
      <w:r>
        <w:t>(</w:t>
      </w:r>
      <w:hyperlink r:id="rId9" w:history="1">
        <w:r w:rsidRPr="00F84D5B">
          <w:rPr>
            <w:rStyle w:val="Collegamentoipertestuale"/>
          </w:rPr>
          <w:t>pfaraguna@units.it</w:t>
        </w:r>
      </w:hyperlink>
      <w:r>
        <w:t xml:space="preserve">) </w:t>
      </w:r>
      <w:r w:rsidR="007B0A52">
        <w:t xml:space="preserve">la loro preferenza entro </w:t>
      </w:r>
      <w:r w:rsidR="007C1BFB">
        <w:t xml:space="preserve">il </w:t>
      </w:r>
      <w:r w:rsidR="00302E99">
        <w:rPr>
          <w:b/>
          <w:bCs/>
          <w:u w:val="single"/>
        </w:rPr>
        <w:t>14</w:t>
      </w:r>
      <w:r w:rsidR="000733F6" w:rsidRPr="000733F6">
        <w:rPr>
          <w:b/>
          <w:bCs/>
          <w:u w:val="single"/>
        </w:rPr>
        <w:t xml:space="preserve"> </w:t>
      </w:r>
      <w:r w:rsidR="00302E99">
        <w:rPr>
          <w:b/>
          <w:bCs/>
          <w:u w:val="single"/>
        </w:rPr>
        <w:t>ottobr</w:t>
      </w:r>
      <w:r w:rsidR="000733F6" w:rsidRPr="000733F6">
        <w:rPr>
          <w:b/>
          <w:bCs/>
          <w:u w:val="single"/>
        </w:rPr>
        <w:t>e</w:t>
      </w:r>
      <w:r>
        <w:t xml:space="preserve">. </w:t>
      </w:r>
      <w:r w:rsidR="000310F9">
        <w:t>Sono benvenute proposte ulteriori rispetto all’elenco sopra indicato</w:t>
      </w:r>
      <w:r w:rsidR="007C1BFB">
        <w:t>.</w:t>
      </w:r>
    </w:p>
    <w:p w14:paraId="2F962343" w14:textId="68987633" w:rsidR="008A25CA" w:rsidRDefault="00BB2174" w:rsidP="00BB2174">
      <w:r>
        <w:t>I dossier dovranno essere tutti inviati inderogabilmente</w:t>
      </w:r>
      <w:r w:rsidR="00CE48C4">
        <w:t xml:space="preserve"> via mail al docente</w:t>
      </w:r>
      <w:r>
        <w:t xml:space="preserve"> </w:t>
      </w:r>
      <w:r w:rsidR="005546E4">
        <w:t xml:space="preserve">entro </w:t>
      </w:r>
      <w:r w:rsidR="005546E4" w:rsidRPr="000733F6">
        <w:rPr>
          <w:b/>
          <w:bCs/>
          <w:u w:val="single"/>
        </w:rPr>
        <w:t xml:space="preserve">martedì </w:t>
      </w:r>
      <w:r w:rsidR="00E5502E">
        <w:rPr>
          <w:b/>
          <w:bCs/>
          <w:u w:val="single"/>
        </w:rPr>
        <w:t>18</w:t>
      </w:r>
      <w:r w:rsidR="005546E4" w:rsidRPr="000733F6">
        <w:rPr>
          <w:b/>
          <w:bCs/>
          <w:u w:val="single"/>
        </w:rPr>
        <w:t xml:space="preserve"> novembre</w:t>
      </w:r>
      <w:r w:rsidR="005546E4">
        <w:t xml:space="preserve"> </w:t>
      </w:r>
      <w:r w:rsidR="002E4E5D">
        <w:t>per essere caricati su moodle e resi d</w:t>
      </w:r>
      <w:r w:rsidR="007B0A52">
        <w:t>isponibili a tutti gli studenti</w:t>
      </w:r>
      <w:r w:rsidR="002E4E5D">
        <w:t>.</w:t>
      </w:r>
      <w:r w:rsidR="008A25CA">
        <w:t xml:space="preserve"> </w:t>
      </w:r>
    </w:p>
    <w:p w14:paraId="61A5D06B" w14:textId="5F328145" w:rsidR="00BB2174" w:rsidRPr="008A25CA" w:rsidRDefault="008A25CA" w:rsidP="00BB2174">
      <w:pPr>
        <w:rPr>
          <w:u w:val="single"/>
        </w:rPr>
      </w:pPr>
      <w:r w:rsidRPr="008A25CA">
        <w:rPr>
          <w:b/>
          <w:bCs/>
          <w:u w:val="single"/>
        </w:rPr>
        <w:t>Tutti gli elaborati saranno processati tramite software antiplagio per accertarne l’autenticità.</w:t>
      </w:r>
    </w:p>
    <w:p w14:paraId="77D11429" w14:textId="41A37E7F" w:rsidR="00A61B28" w:rsidRDefault="00A61B28" w:rsidP="00BB2174">
      <w:r>
        <w:t xml:space="preserve">Il dossier dovrà essere redatto in formato word, </w:t>
      </w:r>
      <w:r w:rsidR="002E4E5D">
        <w:t xml:space="preserve">e dovrà essere </w:t>
      </w:r>
      <w:r w:rsidR="000310F9">
        <w:t>di estensione</w:t>
      </w:r>
      <w:r>
        <w:t xml:space="preserve"> </w:t>
      </w:r>
      <w:r w:rsidR="000310F9">
        <w:t xml:space="preserve">approssimativa intorno alle </w:t>
      </w:r>
      <w:r>
        <w:t>10 pagine.</w:t>
      </w:r>
    </w:p>
    <w:p w14:paraId="609DB6FB" w14:textId="3D154CC7" w:rsidR="00A61B28" w:rsidRDefault="00A61B28" w:rsidP="00BB2174">
      <w:r>
        <w:t>Il dossier ha l’obiettivo di identificare il problema giuridico che sarà compito della classe approfondire in modalità seminariale. Dovranno essere riportate le norme rilevanti, gli eventuali parametri, le prospettive di riforma legislativa e – se rilevanti – gli estratti di dibattiti parlamentari. Nei numerosi casi in cui la questione abbia un’epifania giurisdizionale, dovranno essere riportati gli elementi utili del fatto che ha condotto al contenzioso, i termini della questione, la competenza del giudice adito, l’eventuale precedente percorso giurisprudenziale e l’esito. Tutti i dossier dovranno concludersi con una indicazione dei problemi che la questione solleva, da porre all’attenzione della classe</w:t>
      </w:r>
      <w:r w:rsidR="002E4E5D">
        <w:t>, e una elencazione dei punti aperti alla discussione</w:t>
      </w:r>
      <w:r>
        <w:t>.</w:t>
      </w:r>
    </w:p>
    <w:p w14:paraId="5CC2ECBE" w14:textId="34D3B55F" w:rsidR="00A61B28" w:rsidRDefault="00A61B28" w:rsidP="00BB2174">
      <w:r>
        <w:t>Si rammenta che il dossier dovrà essere la base a partire della quale uno studente, diverso da colei o colui che ha redatto il dossier, presente</w:t>
      </w:r>
      <w:r w:rsidR="002E4E5D">
        <w:t>rà</w:t>
      </w:r>
      <w:r>
        <w:t xml:space="preserve"> il caso alla classe per la discussione.</w:t>
      </w:r>
    </w:p>
    <w:p w14:paraId="49AF5905" w14:textId="49BF0D8B" w:rsidR="00A61B28" w:rsidRDefault="00A61B28" w:rsidP="00BB2174">
      <w:r>
        <w:t>TUTTI gli studenti dovranno approfondire il dossier prima della discussione in classe: questa è la ragione per cui l’estensione del dossier deve essere limitata, così da consentire a tutti di approfondire i documenti in tempo utile per la discussione.</w:t>
      </w:r>
    </w:p>
    <w:p w14:paraId="49773BBB" w14:textId="6BD26702" w:rsidR="002E4E5D" w:rsidRDefault="002E4E5D" w:rsidP="00BB2174">
      <w:r>
        <w:t>Il docente è naturalmente a disposizione su tutti i canali per ogni chiarimento.</w:t>
      </w:r>
    </w:p>
    <w:p w14:paraId="26BF007B" w14:textId="77777777" w:rsidR="002E4E5D" w:rsidRDefault="002E4E5D" w:rsidP="00BB2174"/>
    <w:p w14:paraId="284DAD73" w14:textId="77777777" w:rsidR="00A61B28" w:rsidRDefault="00A61B28" w:rsidP="00BB2174"/>
    <w:p w14:paraId="46EF0780" w14:textId="77777777" w:rsidR="000704EA" w:rsidRDefault="000704EA"/>
    <w:sectPr w:rsidR="000704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CA6"/>
    <w:multiLevelType w:val="hybridMultilevel"/>
    <w:tmpl w:val="60E45F52"/>
    <w:lvl w:ilvl="0" w:tplc="2BB89D74">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K0MLI0NzA2MzUxNTNW0lEKTi0uzszPAykwrgUAgqA3uywAAAA="/>
  </w:docVars>
  <w:rsids>
    <w:rsidRoot w:val="0072501B"/>
    <w:rsid w:val="000310F9"/>
    <w:rsid w:val="000704EA"/>
    <w:rsid w:val="000733F6"/>
    <w:rsid w:val="000C553E"/>
    <w:rsid w:val="001353D7"/>
    <w:rsid w:val="001611C5"/>
    <w:rsid w:val="001B3121"/>
    <w:rsid w:val="002775D3"/>
    <w:rsid w:val="002B48B7"/>
    <w:rsid w:val="002E4E5D"/>
    <w:rsid w:val="003003EB"/>
    <w:rsid w:val="00302E99"/>
    <w:rsid w:val="00324592"/>
    <w:rsid w:val="003437A2"/>
    <w:rsid w:val="003F00E9"/>
    <w:rsid w:val="003F32B1"/>
    <w:rsid w:val="004668F2"/>
    <w:rsid w:val="004832AF"/>
    <w:rsid w:val="00541FC6"/>
    <w:rsid w:val="005546E4"/>
    <w:rsid w:val="00585474"/>
    <w:rsid w:val="005C3D38"/>
    <w:rsid w:val="00693A50"/>
    <w:rsid w:val="0072501B"/>
    <w:rsid w:val="007339D8"/>
    <w:rsid w:val="007423C4"/>
    <w:rsid w:val="00747650"/>
    <w:rsid w:val="007B0A52"/>
    <w:rsid w:val="007C1BFB"/>
    <w:rsid w:val="008A25CA"/>
    <w:rsid w:val="008B3118"/>
    <w:rsid w:val="008D6E4C"/>
    <w:rsid w:val="008E1371"/>
    <w:rsid w:val="00902BFB"/>
    <w:rsid w:val="00955AE6"/>
    <w:rsid w:val="00987EE8"/>
    <w:rsid w:val="00993C7C"/>
    <w:rsid w:val="009B1679"/>
    <w:rsid w:val="009E7EBB"/>
    <w:rsid w:val="00A31CCF"/>
    <w:rsid w:val="00A61B28"/>
    <w:rsid w:val="00A91274"/>
    <w:rsid w:val="00BB2174"/>
    <w:rsid w:val="00BE420E"/>
    <w:rsid w:val="00BF2C74"/>
    <w:rsid w:val="00C94839"/>
    <w:rsid w:val="00CB272E"/>
    <w:rsid w:val="00CE48C4"/>
    <w:rsid w:val="00D043D3"/>
    <w:rsid w:val="00DF7F21"/>
    <w:rsid w:val="00E5502E"/>
    <w:rsid w:val="00EA069D"/>
    <w:rsid w:val="00F434B3"/>
    <w:rsid w:val="00F465F1"/>
    <w:rsid w:val="00F60E4A"/>
    <w:rsid w:val="00FD2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CF45"/>
  <w15:chartTrackingRefBased/>
  <w15:docId w15:val="{D961AB89-FB72-48BA-96DF-9CF736E8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272E"/>
    <w:pPr>
      <w:jc w:val="both"/>
    </w:pPr>
    <w:rPr>
      <w:rFonts w:ascii="Garamond" w:hAnsi="Garamon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B272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B272E"/>
    <w:rPr>
      <w:rFonts w:ascii="Garamond" w:hAnsi="Garamond"/>
      <w:sz w:val="20"/>
      <w:szCs w:val="20"/>
    </w:rPr>
  </w:style>
  <w:style w:type="character" w:styleId="Rimandonotaapidipagina">
    <w:name w:val="footnote reference"/>
    <w:basedOn w:val="Carpredefinitoparagrafo"/>
    <w:uiPriority w:val="99"/>
    <w:semiHidden/>
    <w:unhideWhenUsed/>
    <w:rsid w:val="00CB272E"/>
    <w:rPr>
      <w:vertAlign w:val="superscript"/>
    </w:rPr>
  </w:style>
  <w:style w:type="character" w:styleId="Rimandonotadichiusura">
    <w:name w:val="endnote reference"/>
    <w:basedOn w:val="Carpredefinitoparagrafo"/>
    <w:uiPriority w:val="99"/>
    <w:semiHidden/>
    <w:unhideWhenUsed/>
    <w:rsid w:val="00CB272E"/>
    <w:rPr>
      <w:vertAlign w:val="superscript"/>
    </w:rPr>
  </w:style>
  <w:style w:type="paragraph" w:styleId="Paragrafoelenco">
    <w:name w:val="List Paragraph"/>
    <w:basedOn w:val="Normale"/>
    <w:uiPriority w:val="34"/>
    <w:qFormat/>
    <w:rsid w:val="00CB272E"/>
    <w:pPr>
      <w:ind w:left="720"/>
      <w:contextualSpacing/>
    </w:pPr>
  </w:style>
  <w:style w:type="paragraph" w:styleId="Bibliografia">
    <w:name w:val="Bibliography"/>
    <w:basedOn w:val="Normale"/>
    <w:next w:val="Normale"/>
    <w:uiPriority w:val="37"/>
    <w:unhideWhenUsed/>
    <w:rsid w:val="00CB272E"/>
    <w:pPr>
      <w:spacing w:after="240" w:line="240" w:lineRule="auto"/>
      <w:ind w:left="720" w:hanging="720"/>
    </w:pPr>
  </w:style>
  <w:style w:type="character" w:styleId="Collegamentoipertestuale">
    <w:name w:val="Hyperlink"/>
    <w:basedOn w:val="Carpredefinitoparagrafo"/>
    <w:uiPriority w:val="99"/>
    <w:unhideWhenUsed/>
    <w:rsid w:val="00277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35937">
      <w:bodyDiv w:val="1"/>
      <w:marLeft w:val="0"/>
      <w:marRight w:val="0"/>
      <w:marTop w:val="0"/>
      <w:marBottom w:val="0"/>
      <w:divBdr>
        <w:top w:val="none" w:sz="0" w:space="0" w:color="auto"/>
        <w:left w:val="none" w:sz="0" w:space="0" w:color="auto"/>
        <w:bottom w:val="none" w:sz="0" w:space="0" w:color="auto"/>
        <w:right w:val="none" w:sz="0" w:space="0" w:color="auto"/>
      </w:divBdr>
    </w:div>
    <w:div w:id="470633706">
      <w:bodyDiv w:val="1"/>
      <w:marLeft w:val="0"/>
      <w:marRight w:val="0"/>
      <w:marTop w:val="0"/>
      <w:marBottom w:val="0"/>
      <w:divBdr>
        <w:top w:val="none" w:sz="0" w:space="0" w:color="auto"/>
        <w:left w:val="none" w:sz="0" w:space="0" w:color="auto"/>
        <w:bottom w:val="none" w:sz="0" w:space="0" w:color="auto"/>
        <w:right w:val="none" w:sz="0" w:space="0" w:color="auto"/>
      </w:divBdr>
      <w:divsChild>
        <w:div w:id="1484006574">
          <w:marLeft w:val="0"/>
          <w:marRight w:val="0"/>
          <w:marTop w:val="0"/>
          <w:marBottom w:val="0"/>
          <w:divBdr>
            <w:top w:val="none" w:sz="0" w:space="0" w:color="auto"/>
            <w:left w:val="none" w:sz="0" w:space="0" w:color="auto"/>
            <w:bottom w:val="none" w:sz="0" w:space="0" w:color="auto"/>
            <w:right w:val="none" w:sz="0" w:space="0" w:color="auto"/>
          </w:divBdr>
        </w:div>
      </w:divsChild>
    </w:div>
    <w:div w:id="503593424">
      <w:bodyDiv w:val="1"/>
      <w:marLeft w:val="0"/>
      <w:marRight w:val="0"/>
      <w:marTop w:val="0"/>
      <w:marBottom w:val="0"/>
      <w:divBdr>
        <w:top w:val="none" w:sz="0" w:space="0" w:color="auto"/>
        <w:left w:val="none" w:sz="0" w:space="0" w:color="auto"/>
        <w:bottom w:val="none" w:sz="0" w:space="0" w:color="auto"/>
        <w:right w:val="none" w:sz="0" w:space="0" w:color="auto"/>
      </w:divBdr>
    </w:div>
    <w:div w:id="1035428667">
      <w:bodyDiv w:val="1"/>
      <w:marLeft w:val="0"/>
      <w:marRight w:val="0"/>
      <w:marTop w:val="0"/>
      <w:marBottom w:val="0"/>
      <w:divBdr>
        <w:top w:val="none" w:sz="0" w:space="0" w:color="auto"/>
        <w:left w:val="none" w:sz="0" w:space="0" w:color="auto"/>
        <w:bottom w:val="none" w:sz="0" w:space="0" w:color="auto"/>
        <w:right w:val="none" w:sz="0" w:space="0" w:color="auto"/>
      </w:divBdr>
      <w:divsChild>
        <w:div w:id="402263026">
          <w:marLeft w:val="0"/>
          <w:marRight w:val="0"/>
          <w:marTop w:val="0"/>
          <w:marBottom w:val="0"/>
          <w:divBdr>
            <w:top w:val="none" w:sz="0" w:space="0" w:color="auto"/>
            <w:left w:val="none" w:sz="0" w:space="0" w:color="auto"/>
            <w:bottom w:val="none" w:sz="0" w:space="0" w:color="auto"/>
            <w:right w:val="none" w:sz="0" w:space="0" w:color="auto"/>
          </w:divBdr>
        </w:div>
      </w:divsChild>
    </w:div>
    <w:div w:id="1042363851">
      <w:bodyDiv w:val="1"/>
      <w:marLeft w:val="0"/>
      <w:marRight w:val="0"/>
      <w:marTop w:val="0"/>
      <w:marBottom w:val="0"/>
      <w:divBdr>
        <w:top w:val="none" w:sz="0" w:space="0" w:color="auto"/>
        <w:left w:val="none" w:sz="0" w:space="0" w:color="auto"/>
        <w:bottom w:val="none" w:sz="0" w:space="0" w:color="auto"/>
        <w:right w:val="none" w:sz="0" w:space="0" w:color="auto"/>
      </w:divBdr>
    </w:div>
    <w:div w:id="1207140198">
      <w:bodyDiv w:val="1"/>
      <w:marLeft w:val="0"/>
      <w:marRight w:val="0"/>
      <w:marTop w:val="0"/>
      <w:marBottom w:val="0"/>
      <w:divBdr>
        <w:top w:val="none" w:sz="0" w:space="0" w:color="auto"/>
        <w:left w:val="none" w:sz="0" w:space="0" w:color="auto"/>
        <w:bottom w:val="none" w:sz="0" w:space="0" w:color="auto"/>
        <w:right w:val="none" w:sz="0" w:space="0" w:color="auto"/>
      </w:divBdr>
    </w:div>
    <w:div w:id="1291475963">
      <w:bodyDiv w:val="1"/>
      <w:marLeft w:val="0"/>
      <w:marRight w:val="0"/>
      <w:marTop w:val="0"/>
      <w:marBottom w:val="0"/>
      <w:divBdr>
        <w:top w:val="none" w:sz="0" w:space="0" w:color="auto"/>
        <w:left w:val="none" w:sz="0" w:space="0" w:color="auto"/>
        <w:bottom w:val="none" w:sz="0" w:space="0" w:color="auto"/>
        <w:right w:val="none" w:sz="0" w:space="0" w:color="auto"/>
      </w:divBdr>
      <w:divsChild>
        <w:div w:id="402877324">
          <w:marLeft w:val="0"/>
          <w:marRight w:val="0"/>
          <w:marTop w:val="0"/>
          <w:marBottom w:val="0"/>
          <w:divBdr>
            <w:top w:val="none" w:sz="0" w:space="0" w:color="auto"/>
            <w:left w:val="none" w:sz="0" w:space="0" w:color="auto"/>
            <w:bottom w:val="none" w:sz="0" w:space="0" w:color="auto"/>
            <w:right w:val="none" w:sz="0" w:space="0" w:color="auto"/>
          </w:divBdr>
        </w:div>
        <w:div w:id="297807063">
          <w:marLeft w:val="0"/>
          <w:marRight w:val="0"/>
          <w:marTop w:val="0"/>
          <w:marBottom w:val="0"/>
          <w:divBdr>
            <w:top w:val="none" w:sz="0" w:space="0" w:color="auto"/>
            <w:left w:val="none" w:sz="0" w:space="0" w:color="auto"/>
            <w:bottom w:val="none" w:sz="0" w:space="0" w:color="auto"/>
            <w:right w:val="none" w:sz="0" w:space="0" w:color="auto"/>
          </w:divBdr>
        </w:div>
      </w:divsChild>
    </w:div>
    <w:div w:id="1588155981">
      <w:bodyDiv w:val="1"/>
      <w:marLeft w:val="0"/>
      <w:marRight w:val="0"/>
      <w:marTop w:val="0"/>
      <w:marBottom w:val="0"/>
      <w:divBdr>
        <w:top w:val="none" w:sz="0" w:space="0" w:color="auto"/>
        <w:left w:val="none" w:sz="0" w:space="0" w:color="auto"/>
        <w:bottom w:val="none" w:sz="0" w:space="0" w:color="auto"/>
        <w:right w:val="none" w:sz="0" w:space="0" w:color="auto"/>
      </w:divBdr>
    </w:div>
    <w:div w:id="1759790697">
      <w:bodyDiv w:val="1"/>
      <w:marLeft w:val="0"/>
      <w:marRight w:val="0"/>
      <w:marTop w:val="0"/>
      <w:marBottom w:val="0"/>
      <w:divBdr>
        <w:top w:val="none" w:sz="0" w:space="0" w:color="auto"/>
        <w:left w:val="none" w:sz="0" w:space="0" w:color="auto"/>
        <w:bottom w:val="none" w:sz="0" w:space="0" w:color="auto"/>
        <w:right w:val="none" w:sz="0" w:space="0" w:color="auto"/>
      </w:divBdr>
    </w:div>
    <w:div w:id="20232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f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faraguna@unit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7" ma:contentTypeDescription="Creare un nuovo documento." ma:contentTypeScope="" ma:versionID="66fea174cd1a9ecbac3e81b1bf9ebd01">
  <xsd:schema xmlns:xsd="http://www.w3.org/2001/XMLSchema" xmlns:xs="http://www.w3.org/2001/XMLSchema" xmlns:p="http://schemas.microsoft.com/office/2006/metadata/properties" xmlns:ns3="ce2ceee5-4e98-448d-bd69-9759c2918574" xmlns:ns4="f3077446-a7b8-4994-9298-7551826f19f8" targetNamespace="http://schemas.microsoft.com/office/2006/metadata/properties" ma:root="true" ma:fieldsID="d9cdbb3269a263fffc2f6d5e0a537179" ns3:_="" ns4:_="">
    <xsd:import namespace="ce2ceee5-4e98-448d-bd69-9759c2918574"/>
    <xsd:import namespace="f3077446-a7b8-4994-9298-7551826f19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2ceee5-4e98-448d-bd69-9759c2918574" xsi:nil="true"/>
  </documentManagement>
</p:properties>
</file>

<file path=customXml/itemProps1.xml><?xml version="1.0" encoding="utf-8"?>
<ds:datastoreItem xmlns:ds="http://schemas.openxmlformats.org/officeDocument/2006/customXml" ds:itemID="{391FE94E-1360-4E94-AF3B-52498E2D7EE3}">
  <ds:schemaRefs>
    <ds:schemaRef ds:uri="http://schemas.microsoft.com/sharepoint/v3/contenttype/forms"/>
  </ds:schemaRefs>
</ds:datastoreItem>
</file>

<file path=customXml/itemProps2.xml><?xml version="1.0" encoding="utf-8"?>
<ds:datastoreItem xmlns:ds="http://schemas.openxmlformats.org/officeDocument/2006/customXml" ds:itemID="{12283D30-C078-46CB-8FF6-B656F74A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ceee5-4e98-448d-bd69-9759c2918574"/>
    <ds:schemaRef ds:uri="f3077446-a7b8-4994-9298-7551826f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98F38-B65E-451E-AA9D-06899C0E20C4}">
  <ds:schemaRefs>
    <ds:schemaRef ds:uri="http://schemas.microsoft.com/office/2006/metadata/properties"/>
    <ds:schemaRef ds:uri="http://schemas.microsoft.com/office/infopath/2007/PartnerControls"/>
    <ds:schemaRef ds:uri="ce2ceee5-4e98-448d-bd69-9759c2918574"/>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864</Words>
  <Characters>4926</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P</cp:lastModifiedBy>
  <cp:revision>16</cp:revision>
  <cp:lastPrinted>2024-09-23T12:09:00Z</cp:lastPrinted>
  <dcterms:created xsi:type="dcterms:W3CDTF">2024-09-23T08:19:00Z</dcterms:created>
  <dcterms:modified xsi:type="dcterms:W3CDTF">2025-08-04T17:03:00Z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y fmtid="{D5CDD505-2E9C-101B-9397-08002B2CF9AE}" pid="3" name="GrammarlyDocumentId">
    <vt:lpwstr>1fb4947a8f8a86cba84bd4317166bb7903e067c1833a2672e5a626a6126fa8dc</vt:lpwstr>
  </property>
</Properties>
</file>