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811" w:rsidRDefault="00F14179" w:rsidP="00192E60">
      <w:pPr>
        <w:pStyle w:val="Titolo1"/>
      </w:pPr>
      <w:r>
        <w:t>File di calibrazione del flusso di calore</w:t>
      </w:r>
    </w:p>
    <w:p w:rsidR="00F14179" w:rsidRDefault="00F14179">
      <w:r>
        <w:t xml:space="preserve">Calibrazione effettuata all’installazione con i 6 standard </w:t>
      </w:r>
      <w:proofErr w:type="spellStart"/>
      <w:r>
        <w:t>Netzsch</w:t>
      </w:r>
      <w:proofErr w:type="spellEnd"/>
    </w:p>
    <w:p w:rsidR="00F14179" w:rsidRDefault="00F14179">
      <w:r>
        <w:rPr>
          <w:noProof/>
        </w:rPr>
        <w:drawing>
          <wp:inline distT="0" distB="0" distL="0" distR="0" wp14:anchorId="30930D47" wp14:editId="60AC4EEB">
            <wp:extent cx="6120130" cy="2872740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B0D" w:rsidRDefault="003D6B0D">
      <w:r>
        <w:t>La sensibilità sperimentale</w:t>
      </w:r>
      <w:r w:rsidR="00701643">
        <w:t xml:space="preserve"> k(T</w:t>
      </w:r>
      <w:r w:rsidR="00701643" w:rsidRPr="00701643">
        <w:rPr>
          <w:vertAlign w:val="subscript"/>
        </w:rPr>
        <w:t>i</w:t>
      </w:r>
      <w:r w:rsidR="00701643">
        <w:t>)</w:t>
      </w:r>
      <w:r>
        <w:t xml:space="preserve"> è il rapporto tra la l’area del picco misurata e l’entalpia di fusione per g (</w:t>
      </w:r>
      <w:proofErr w:type="spellStart"/>
      <w:r>
        <w:t>lett</w:t>
      </w:r>
      <w:proofErr w:type="spellEnd"/>
      <w:r>
        <w:t>)</w:t>
      </w:r>
      <w:r w:rsidR="006558DC">
        <w:t xml:space="preserve"> (in J/g= </w:t>
      </w:r>
      <w:proofErr w:type="spellStart"/>
      <w:r w:rsidR="006558DC">
        <w:t>mW</w:t>
      </w:r>
      <w:proofErr w:type="spellEnd"/>
      <w:r w:rsidR="006558DC">
        <w:t xml:space="preserve"> s/mg)</w:t>
      </w:r>
    </w:p>
    <w:p w:rsidR="003D6B0D" w:rsidRDefault="003D6B0D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μV∙s</m:t>
              </m:r>
            </m:num>
            <m:den>
              <m:r>
                <w:rPr>
                  <w:rFonts w:ascii="Cambria Math" w:hAnsi="Cambria Math"/>
                </w:rPr>
                <m:t>mg</m:t>
              </m:r>
            </m:den>
          </m:f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mg</m:t>
              </m:r>
            </m:num>
            <m:den>
              <m:r>
                <w:rPr>
                  <w:rFonts w:ascii="Cambria Math" w:hAnsi="Cambria Math"/>
                </w:rPr>
                <m:t>mW∙s</m:t>
              </m:r>
            </m:den>
          </m:f>
        </m:oMath>
      </m:oMathPara>
    </w:p>
    <w:p w:rsidR="003D6B0D" w:rsidRDefault="003D6B0D"/>
    <w:p w:rsidR="005B7090" w:rsidRDefault="005B7090" w:rsidP="005B7090">
      <w:pPr>
        <w:keepNext/>
      </w:pPr>
      <w:r w:rsidRPr="005B7090">
        <w:rPr>
          <w:noProof/>
        </w:rPr>
        <w:drawing>
          <wp:inline distT="0" distB="0" distL="0" distR="0" wp14:anchorId="55A0BE5A" wp14:editId="59F9C347">
            <wp:extent cx="5381625" cy="236220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090" w:rsidRDefault="005B7090" w:rsidP="005B7090">
      <w:pPr>
        <w:pStyle w:val="Didascalia"/>
      </w:pPr>
      <w:r>
        <w:t xml:space="preserve">Figura </w:t>
      </w:r>
      <w:r w:rsidR="0077690A">
        <w:fldChar w:fldCharType="begin"/>
      </w:r>
      <w:r w:rsidR="0077690A">
        <w:instrText xml:space="preserve"> SEQ Figura \* ARABIC </w:instrText>
      </w:r>
      <w:r w:rsidR="0077690A">
        <w:fldChar w:fldCharType="separate"/>
      </w:r>
      <w:r w:rsidR="00520756">
        <w:rPr>
          <w:noProof/>
        </w:rPr>
        <w:t>1</w:t>
      </w:r>
      <w:r w:rsidR="0077690A">
        <w:rPr>
          <w:noProof/>
        </w:rPr>
        <w:fldChar w:fldCharType="end"/>
      </w:r>
      <w:r>
        <w:t xml:space="preserve"> Grafico con fitting </w:t>
      </w:r>
    </w:p>
    <w:p w:rsidR="00701643" w:rsidRDefault="00701643" w:rsidP="00701643"/>
    <w:p w:rsidR="00701643" w:rsidRDefault="00701643" w:rsidP="00701643">
      <w:r>
        <w:t>Per avere la sensibilità in tutto l’intervallo di temperature di misura si fittano i valori sperimentali con una funzione</w:t>
      </w:r>
      <w:r w:rsidR="00C13698">
        <w:t xml:space="preserve">, che per il software della </w:t>
      </w:r>
      <w:proofErr w:type="spellStart"/>
      <w:r w:rsidR="00C13698">
        <w:t>Netzsch</w:t>
      </w:r>
      <w:proofErr w:type="spellEnd"/>
      <w:r w:rsidR="00C13698">
        <w:t xml:space="preserve"> ha equazione</w:t>
      </w:r>
    </w:p>
    <w:p w:rsidR="00C13698" w:rsidRPr="00760BA8" w:rsidRDefault="00C13698" w:rsidP="00701643">
      <w:pPr>
        <w:rPr>
          <w:lang w:val="en-US"/>
        </w:rPr>
      </w:pPr>
      <w:r w:rsidRPr="00760BA8">
        <w:rPr>
          <w:lang w:val="en-US"/>
        </w:rPr>
        <w:t>K(T)= (</w:t>
      </w:r>
      <w:r w:rsidR="00760BA8" w:rsidRPr="00760BA8">
        <w:rPr>
          <w:lang w:val="en-US"/>
        </w:rPr>
        <w:t>p</w:t>
      </w:r>
      <w:r w:rsidRPr="00760BA8">
        <w:rPr>
          <w:lang w:val="en-US"/>
        </w:rPr>
        <w:t>2+</w:t>
      </w:r>
      <w:r w:rsidR="00760BA8" w:rsidRPr="00760BA8">
        <w:rPr>
          <w:lang w:val="en-US"/>
        </w:rPr>
        <w:t>p</w:t>
      </w:r>
      <w:r w:rsidRPr="00760BA8">
        <w:rPr>
          <w:lang w:val="en-US"/>
        </w:rPr>
        <w:t>3z+</w:t>
      </w:r>
      <w:r w:rsidR="00760BA8">
        <w:rPr>
          <w:lang w:val="en-US"/>
        </w:rPr>
        <w:t>p</w:t>
      </w:r>
      <w:r w:rsidRPr="00760BA8">
        <w:rPr>
          <w:lang w:val="en-US"/>
        </w:rPr>
        <w:t>4z</w:t>
      </w:r>
      <w:r w:rsidRPr="00760BA8">
        <w:rPr>
          <w:vertAlign w:val="superscript"/>
          <w:lang w:val="en-US"/>
        </w:rPr>
        <w:t>2</w:t>
      </w:r>
      <w:r w:rsidRPr="00760BA8">
        <w:rPr>
          <w:lang w:val="en-US"/>
        </w:rPr>
        <w:t>+</w:t>
      </w:r>
      <w:r w:rsidR="00760BA8">
        <w:rPr>
          <w:lang w:val="en-US"/>
        </w:rPr>
        <w:t>p</w:t>
      </w:r>
      <w:r w:rsidRPr="00760BA8">
        <w:rPr>
          <w:lang w:val="en-US"/>
        </w:rPr>
        <w:t>5z</w:t>
      </w:r>
      <w:proofErr w:type="gramStart"/>
      <w:r w:rsidRPr="00760BA8">
        <w:rPr>
          <w:vertAlign w:val="superscript"/>
          <w:lang w:val="en-US"/>
        </w:rPr>
        <w:t>3</w:t>
      </w:r>
      <w:r w:rsidRPr="00760BA8">
        <w:rPr>
          <w:lang w:val="en-US"/>
        </w:rPr>
        <w:t>)</w:t>
      </w:r>
      <w:r w:rsidR="00AA4DAC" w:rsidRPr="00760BA8">
        <w:rPr>
          <w:lang w:val="en-US"/>
        </w:rPr>
        <w:t>exp</w:t>
      </w:r>
      <w:proofErr w:type="gramEnd"/>
      <w:r w:rsidR="00AA4DAC" w:rsidRPr="00760BA8">
        <w:rPr>
          <w:lang w:val="en-US"/>
        </w:rPr>
        <w:t>(-z</w:t>
      </w:r>
      <w:r w:rsidR="00AA4DAC" w:rsidRPr="00760BA8">
        <w:rPr>
          <w:vertAlign w:val="superscript"/>
          <w:lang w:val="en-US"/>
        </w:rPr>
        <w:t>2</w:t>
      </w:r>
      <w:r w:rsidR="00AA4DAC" w:rsidRPr="00760BA8">
        <w:rPr>
          <w:lang w:val="en-US"/>
        </w:rPr>
        <w:t>)</w:t>
      </w:r>
    </w:p>
    <w:p w:rsidR="00AA4DAC" w:rsidRDefault="00AA4DAC" w:rsidP="00701643">
      <w:r>
        <w:t>Dove z= (T-</w:t>
      </w:r>
      <w:r w:rsidR="00760BA8">
        <w:t>p</w:t>
      </w:r>
      <w:proofErr w:type="gramStart"/>
      <w:r w:rsidR="00013F3C">
        <w:rPr>
          <w:vertAlign w:val="subscript"/>
        </w:rPr>
        <w:t>0</w:t>
      </w:r>
      <w:r>
        <w:t>)/</w:t>
      </w:r>
      <w:proofErr w:type="gramEnd"/>
      <w:r w:rsidR="00760BA8">
        <w:t>p</w:t>
      </w:r>
      <w:r>
        <w:t>1</w:t>
      </w:r>
    </w:p>
    <w:p w:rsidR="00AA4DAC" w:rsidRDefault="00AA4DAC" w:rsidP="00701643">
      <w:r>
        <w:lastRenderedPageBreak/>
        <w:t xml:space="preserve">Con </w:t>
      </w:r>
      <w:r w:rsidR="00013F3C">
        <w:t>p</w:t>
      </w:r>
      <w:r>
        <w:t xml:space="preserve">0 che corrisponde ad un estremo della T, solitamente la T più bassa misurata e </w:t>
      </w:r>
      <w:r w:rsidR="00013F3C">
        <w:t>p</w:t>
      </w:r>
      <w:r>
        <w:t>1 tale che |z|</w:t>
      </w:r>
      <w:r w:rsidRPr="00AA4DAC">
        <w:rPr>
          <w:u w:val="single"/>
        </w:rPr>
        <w:t>&lt;</w:t>
      </w:r>
      <w:r>
        <w:t>0,5</w:t>
      </w:r>
    </w:p>
    <w:p w:rsidR="00701643" w:rsidRPr="00701643" w:rsidRDefault="00701643" w:rsidP="00701643"/>
    <w:p w:rsidR="00520756" w:rsidRDefault="00520756" w:rsidP="00520756">
      <w:pPr>
        <w:keepNext/>
      </w:pPr>
      <w:r w:rsidRPr="00520756">
        <w:rPr>
          <w:noProof/>
        </w:rPr>
        <w:drawing>
          <wp:inline distT="0" distB="0" distL="0" distR="0" wp14:anchorId="24B9BEE6" wp14:editId="2B79D38A">
            <wp:extent cx="2314575" cy="165735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B7090" w:rsidRPr="003D6B0D" w:rsidRDefault="00520756" w:rsidP="00520756">
      <w:pPr>
        <w:pStyle w:val="Didascalia"/>
        <w:rPr>
          <w:lang w:val="en-US"/>
        </w:rPr>
      </w:pPr>
      <w:proofErr w:type="spellStart"/>
      <w:r w:rsidRPr="003D6B0D">
        <w:rPr>
          <w:lang w:val="en-US"/>
        </w:rPr>
        <w:t>Figura</w:t>
      </w:r>
      <w:proofErr w:type="spellEnd"/>
      <w:r w:rsidRPr="003D6B0D">
        <w:rPr>
          <w:lang w:val="en-US"/>
        </w:rPr>
        <w:t xml:space="preserve"> </w:t>
      </w:r>
      <w:r w:rsidR="0077690A">
        <w:fldChar w:fldCharType="begin"/>
      </w:r>
      <w:r w:rsidR="0077690A" w:rsidRPr="003D6B0D">
        <w:rPr>
          <w:lang w:val="en-US"/>
        </w:rPr>
        <w:instrText xml:space="preserve"> SEQ Figura \* ARABIC </w:instrText>
      </w:r>
      <w:r w:rsidR="0077690A">
        <w:fldChar w:fldCharType="separate"/>
      </w:r>
      <w:r w:rsidRPr="003D6B0D">
        <w:rPr>
          <w:noProof/>
          <w:lang w:val="en-US"/>
        </w:rPr>
        <w:t>2</w:t>
      </w:r>
      <w:r w:rsidR="0077690A">
        <w:rPr>
          <w:noProof/>
        </w:rPr>
        <w:fldChar w:fldCharType="end"/>
      </w:r>
      <w:r w:rsidRPr="003D6B0D">
        <w:rPr>
          <w:lang w:val="en-US"/>
        </w:rPr>
        <w:t xml:space="preserve"> </w:t>
      </w:r>
      <w:proofErr w:type="spellStart"/>
      <w:r w:rsidRPr="003D6B0D">
        <w:rPr>
          <w:lang w:val="en-US"/>
        </w:rPr>
        <w:t>Coefficienti</w:t>
      </w:r>
      <w:proofErr w:type="spellEnd"/>
      <w:r w:rsidRPr="003D6B0D">
        <w:rPr>
          <w:lang w:val="en-US"/>
        </w:rPr>
        <w:t xml:space="preserve"> </w:t>
      </w:r>
      <w:r w:rsidR="00013B2A" w:rsidRPr="003D6B0D">
        <w:rPr>
          <w:lang w:val="en-US"/>
        </w:rPr>
        <w:t>del fit</w:t>
      </w:r>
    </w:p>
    <w:p w:rsidR="004F15FE" w:rsidRDefault="0033010D" w:rsidP="004F15FE">
      <w:pPr>
        <w:keepNext/>
      </w:pPr>
      <w:r>
        <w:rPr>
          <w:noProof/>
          <w:lang w:val="en-US"/>
        </w:rPr>
        <w:drawing>
          <wp:inline distT="0" distB="0" distL="0" distR="0" wp14:anchorId="21D378FA">
            <wp:extent cx="4566285" cy="2743200"/>
            <wp:effectExtent l="0" t="0" r="571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28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5A85" w:rsidRPr="004F15FE" w:rsidRDefault="004F15FE" w:rsidP="004F15FE">
      <w:pPr>
        <w:pStyle w:val="Didascalia"/>
      </w:pPr>
      <w:r>
        <w:t xml:space="preserve">Figure 3 Grafico Excel con il </w:t>
      </w:r>
      <w:proofErr w:type="spellStart"/>
      <w:r>
        <w:t>fit</w:t>
      </w:r>
      <w:proofErr w:type="spellEnd"/>
      <w:r>
        <w:t xml:space="preserve"> </w:t>
      </w:r>
      <w:r w:rsidR="0077690A">
        <w:t xml:space="preserve">con i parametri ottimizzati </w:t>
      </w:r>
      <w:r>
        <w:t>d</w:t>
      </w:r>
      <w:r w:rsidR="0077690A">
        <w:t>a</w:t>
      </w:r>
      <w:r>
        <w:t>l software strumentale</w:t>
      </w:r>
    </w:p>
    <w:p w:rsidR="00665A85" w:rsidRDefault="00665A85" w:rsidP="00665A85">
      <w:pPr>
        <w:pStyle w:val="Titolo2"/>
        <w:rPr>
          <w:lang w:val="en-US"/>
        </w:rPr>
      </w:pPr>
      <w:proofErr w:type="spellStart"/>
      <w:r>
        <w:rPr>
          <w:lang w:val="en-US"/>
        </w:rPr>
        <w:t>Riferimento</w:t>
      </w:r>
      <w:proofErr w:type="spellEnd"/>
    </w:p>
    <w:p w:rsidR="00520756" w:rsidRPr="003D6B0D" w:rsidRDefault="003D6B0D" w:rsidP="005B7090">
      <w:pPr>
        <w:rPr>
          <w:lang w:val="en-US"/>
        </w:rPr>
      </w:pPr>
      <w:proofErr w:type="spellStart"/>
      <w:r w:rsidRPr="003D6B0D">
        <w:rPr>
          <w:lang w:val="en-US"/>
        </w:rPr>
        <w:t>Drebushchak</w:t>
      </w:r>
      <w:proofErr w:type="spellEnd"/>
      <w:r w:rsidRPr="003D6B0D">
        <w:rPr>
          <w:lang w:val="en-US"/>
        </w:rPr>
        <w:t xml:space="preserve">, V.A. Calibration coefficient of a heat-flow DSC; Part II. Optimal calibration procedure. J </w:t>
      </w:r>
      <w:proofErr w:type="spellStart"/>
      <w:r w:rsidRPr="003D6B0D">
        <w:rPr>
          <w:lang w:val="en-US"/>
        </w:rPr>
        <w:t>Therm</w:t>
      </w:r>
      <w:proofErr w:type="spellEnd"/>
      <w:r w:rsidRPr="003D6B0D">
        <w:rPr>
          <w:lang w:val="en-US"/>
        </w:rPr>
        <w:t xml:space="preserve"> Anal </w:t>
      </w:r>
      <w:proofErr w:type="spellStart"/>
      <w:r w:rsidRPr="003D6B0D">
        <w:rPr>
          <w:lang w:val="en-US"/>
        </w:rPr>
        <w:t>Calorim</w:t>
      </w:r>
      <w:proofErr w:type="spellEnd"/>
      <w:r w:rsidRPr="003D6B0D">
        <w:rPr>
          <w:lang w:val="en-US"/>
        </w:rPr>
        <w:t xml:space="preserve"> 79, 213–218 (2005). https://doi.org/10.1007/s10973-004-0586-1</w:t>
      </w:r>
    </w:p>
    <w:sectPr w:rsidR="00520756" w:rsidRPr="003D6B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34"/>
    <w:rsid w:val="00013B2A"/>
    <w:rsid w:val="00013F3C"/>
    <w:rsid w:val="00192E60"/>
    <w:rsid w:val="001A473E"/>
    <w:rsid w:val="001F4DED"/>
    <w:rsid w:val="00210811"/>
    <w:rsid w:val="0033010D"/>
    <w:rsid w:val="003D6B0D"/>
    <w:rsid w:val="004B4ABF"/>
    <w:rsid w:val="004F15FE"/>
    <w:rsid w:val="00520756"/>
    <w:rsid w:val="005B7090"/>
    <w:rsid w:val="006558DC"/>
    <w:rsid w:val="00665A85"/>
    <w:rsid w:val="00701643"/>
    <w:rsid w:val="00760BA8"/>
    <w:rsid w:val="0077690A"/>
    <w:rsid w:val="00AA4DAC"/>
    <w:rsid w:val="00C13698"/>
    <w:rsid w:val="00CE0B08"/>
    <w:rsid w:val="00D13C34"/>
    <w:rsid w:val="00F1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0B7D"/>
  <w15:chartTrackingRefBased/>
  <w15:docId w15:val="{3675E6A7-7FFE-4165-9615-9D72D7E0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92E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65A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5B709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rsid w:val="003D6B0D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92E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65A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DF655-5A7C-4D6F-BAB8-4B8796C94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FIORETTA ASARO</cp:lastModifiedBy>
  <cp:revision>18</cp:revision>
  <dcterms:created xsi:type="dcterms:W3CDTF">2025-10-22T08:32:00Z</dcterms:created>
  <dcterms:modified xsi:type="dcterms:W3CDTF">2025-10-22T10:43:00Z</dcterms:modified>
</cp:coreProperties>
</file>