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CC2" w:rsidRDefault="004D7A7A" w:rsidP="008C37D5">
      <w:pPr>
        <w:pStyle w:val="Titolo1"/>
      </w:pPr>
      <w:r>
        <w:t xml:space="preserve">Studio </w:t>
      </w:r>
      <w:r w:rsidR="001D7789">
        <w:t xml:space="preserve">di transizione di fase </w:t>
      </w:r>
      <w:r>
        <w:t>di</w:t>
      </w:r>
      <w:r w:rsidR="001D7789">
        <w:t xml:space="preserve"> caffeina anidra e miscele acqua-glicerolo mediante calorimetria differenziale a scansione</w:t>
      </w:r>
    </w:p>
    <w:p w:rsidR="008C37D5" w:rsidRDefault="008C37D5"/>
    <w:p w:rsidR="008C37D5" w:rsidRDefault="008C37D5" w:rsidP="002E732F">
      <w:pPr>
        <w:pStyle w:val="Titolo3"/>
      </w:pPr>
      <w:r>
        <w:t>Istruzioni per l’accensione del DSC</w:t>
      </w:r>
      <w:r w:rsidR="00220095">
        <w:t xml:space="preserve"> </w:t>
      </w:r>
      <w:proofErr w:type="spellStart"/>
      <w:r w:rsidR="00220095">
        <w:t>Neztch</w:t>
      </w:r>
      <w:proofErr w:type="spellEnd"/>
      <w:r w:rsidR="00220095">
        <w:t xml:space="preserve"> </w:t>
      </w:r>
      <w:proofErr w:type="spellStart"/>
      <w:r w:rsidR="00220095">
        <w:t>Cal</w:t>
      </w:r>
      <w:r w:rsidR="002F2F8B">
        <w:t>i</w:t>
      </w:r>
      <w:r w:rsidR="00220095">
        <w:t>ris</w:t>
      </w:r>
      <w:proofErr w:type="spellEnd"/>
      <w:r w:rsidR="00220095">
        <w:t xml:space="preserve"> 300</w:t>
      </w:r>
      <w:bookmarkStart w:id="0" w:name="_GoBack"/>
      <w:bookmarkEnd w:id="0"/>
    </w:p>
    <w:p w:rsidR="008C37D5" w:rsidRDefault="008C37D5" w:rsidP="00991845">
      <w:pPr>
        <w:spacing w:after="0"/>
      </w:pPr>
      <w:r>
        <w:t>Aprire la bombola di azoto</w:t>
      </w:r>
    </w:p>
    <w:p w:rsidR="008C37D5" w:rsidRDefault="008C37D5" w:rsidP="00991845">
      <w:pPr>
        <w:spacing w:after="0"/>
      </w:pPr>
      <w:r>
        <w:t>Accendere il PC</w:t>
      </w:r>
    </w:p>
    <w:p w:rsidR="008C37D5" w:rsidRDefault="008C37D5" w:rsidP="00991845">
      <w:pPr>
        <w:spacing w:after="0"/>
      </w:pPr>
      <w:r>
        <w:t>Accendere lo strumento con l’interruttore sul retro</w:t>
      </w:r>
    </w:p>
    <w:p w:rsidR="008C37D5" w:rsidRDefault="008C37D5" w:rsidP="00991845">
      <w:pPr>
        <w:spacing w:after="0"/>
      </w:pPr>
      <w:r>
        <w:t xml:space="preserve">Aprire dall’icona sul desktop il software </w:t>
      </w:r>
      <w:proofErr w:type="spellStart"/>
      <w:r w:rsidR="00510992">
        <w:t>Neztsch</w:t>
      </w:r>
      <w:proofErr w:type="spellEnd"/>
      <w:r w:rsidR="00510992">
        <w:t xml:space="preserve"> </w:t>
      </w:r>
      <w:proofErr w:type="spellStart"/>
      <w:r w:rsidR="00510992">
        <w:t>assistant</w:t>
      </w:r>
      <w:proofErr w:type="spellEnd"/>
    </w:p>
    <w:p w:rsidR="00991845" w:rsidRDefault="00220095" w:rsidP="00991845">
      <w:pPr>
        <w:spacing w:after="0"/>
      </w:pPr>
      <w:r>
        <w:t>Measure net DSC 300 select</w:t>
      </w:r>
    </w:p>
    <w:p w:rsidR="00930DDC" w:rsidRDefault="006363F3" w:rsidP="006363F3">
      <w:pPr>
        <w:pStyle w:val="Titolo2"/>
      </w:pPr>
      <w:r>
        <w:t xml:space="preserve">1. </w:t>
      </w:r>
      <w:r w:rsidR="00E45B80">
        <w:t>Transizioni di fase</w:t>
      </w:r>
      <w:r w:rsidR="00B21381">
        <w:t xml:space="preserve"> </w:t>
      </w:r>
      <w:r w:rsidR="00BA4C79">
        <w:t xml:space="preserve">per riscaldamento </w:t>
      </w:r>
      <w:r w:rsidR="00B21381">
        <w:t>della caffeina a</w:t>
      </w:r>
      <w:r>
        <w:t>nidra</w:t>
      </w:r>
      <w:r w:rsidR="00BA4C79">
        <w:t xml:space="preserve"> </w:t>
      </w:r>
    </w:p>
    <w:p w:rsidR="006363F3" w:rsidRDefault="006363F3" w:rsidP="006363F3">
      <w:r>
        <w:t xml:space="preserve">Caricare il metodo per la caffeina </w:t>
      </w:r>
      <w:r w:rsidR="00220095">
        <w:t>dal menù Method</w:t>
      </w:r>
    </w:p>
    <w:p w:rsidR="006363F3" w:rsidRDefault="006363F3" w:rsidP="006363F3">
      <w:pPr>
        <w:pStyle w:val="Titolo3"/>
      </w:pPr>
      <w:r>
        <w:t xml:space="preserve">1.1 Registrazione della linea di base </w:t>
      </w:r>
    </w:p>
    <w:p w:rsidR="00747F1A" w:rsidRDefault="006363F3" w:rsidP="006363F3">
      <w:r>
        <w:t>Mettere due crogioli uguali con coperchio forato nelle posizioni del riferimento (a sinistra) del campione (a destra)</w:t>
      </w:r>
      <w:r w:rsidR="00747F1A">
        <w:t xml:space="preserve"> e registrare la linea di base per riscaldamento a 10 K/</w:t>
      </w:r>
      <w:proofErr w:type="spellStart"/>
      <w:r w:rsidR="00747F1A">
        <w:t>min</w:t>
      </w:r>
      <w:proofErr w:type="spellEnd"/>
      <w:r w:rsidR="00747F1A">
        <w:t xml:space="preserve"> tra 20 e 260 °C</w:t>
      </w:r>
    </w:p>
    <w:p w:rsidR="006363F3" w:rsidRDefault="006363F3" w:rsidP="006363F3">
      <w:pPr>
        <w:pStyle w:val="Titolo3"/>
      </w:pPr>
      <w:r>
        <w:t xml:space="preserve">1.2 Registrazione </w:t>
      </w:r>
      <w:proofErr w:type="gramStart"/>
      <w:r>
        <w:t>delle curva</w:t>
      </w:r>
      <w:proofErr w:type="gramEnd"/>
      <w:r>
        <w:t xml:space="preserve"> di riscaldamento e raffreddamento della caffeina anidra</w:t>
      </w:r>
      <w:r w:rsidR="00D00ECF">
        <w:t xml:space="preserve"> [1]</w:t>
      </w:r>
    </w:p>
    <w:p w:rsidR="00747F1A" w:rsidRDefault="00747F1A" w:rsidP="006363F3">
      <w:r>
        <w:t>Preparare il campione pesando esattamente in un crogiolo una quantità di caffeina un po’ superiore a 5 mg, ma comunque inferiore a 10 mg</w:t>
      </w:r>
      <w:r w:rsidR="00F8262A">
        <w:t xml:space="preserve"> (il software richiede la </w:t>
      </w:r>
      <w:r w:rsidR="00F8262A" w:rsidRPr="00F8262A">
        <w:rPr>
          <w:b/>
        </w:rPr>
        <w:t>massa in mg con 1 cifra decimale</w:t>
      </w:r>
      <w:r w:rsidR="00F8262A">
        <w:t>)</w:t>
      </w:r>
    </w:p>
    <w:p w:rsidR="006363F3" w:rsidRDefault="00747F1A" w:rsidP="006363F3">
      <w:r>
        <w:t>Registrazione della curv</w:t>
      </w:r>
      <w:r w:rsidR="00B416CF">
        <w:t>a</w:t>
      </w:r>
      <w:r>
        <w:t xml:space="preserve"> di </w:t>
      </w:r>
      <w:r w:rsidR="009F5EC6">
        <w:t xml:space="preserve">riscaldamento tra 25 e 260 °C </w:t>
      </w:r>
      <w:r w:rsidR="00B416CF">
        <w:t>a 10 K/</w:t>
      </w:r>
      <w:proofErr w:type="spellStart"/>
      <w:r w:rsidR="00B416CF">
        <w:t>mim</w:t>
      </w:r>
      <w:proofErr w:type="spellEnd"/>
      <w:r w:rsidR="00B416CF">
        <w:t xml:space="preserve">, e dopo un’attesa di 10 </w:t>
      </w:r>
      <w:proofErr w:type="spellStart"/>
      <w:r w:rsidR="00B416CF">
        <w:t>min</w:t>
      </w:r>
      <w:proofErr w:type="spellEnd"/>
      <w:r w:rsidR="00B416CF">
        <w:t xml:space="preserve"> a 260 K, registrare la curva di raffreddamento fino a 100 °C.</w:t>
      </w:r>
    </w:p>
    <w:p w:rsidR="00B416CF" w:rsidRDefault="00B416CF" w:rsidP="00320BBF">
      <w:pPr>
        <w:pStyle w:val="Titolo3"/>
      </w:pPr>
      <w:r>
        <w:t xml:space="preserve">1.3 Analisi dei </w:t>
      </w:r>
      <w:r w:rsidR="002D3676">
        <w:t>dati</w:t>
      </w:r>
    </w:p>
    <w:p w:rsidR="00320BBF" w:rsidRDefault="00320BBF" w:rsidP="006363F3">
      <w:r>
        <w:t xml:space="preserve">Con il software dello strumento determinare il valore di </w:t>
      </w:r>
      <w:proofErr w:type="spellStart"/>
      <w:r>
        <w:t>onset</w:t>
      </w:r>
      <w:proofErr w:type="spellEnd"/>
      <w:r>
        <w:t xml:space="preserve"> della transizione di fusione e di solidificazione e l’entalpia associata. </w:t>
      </w:r>
      <w:r w:rsidR="00636BC0">
        <w:t xml:space="preserve">Calcolare i valori </w:t>
      </w:r>
      <w:r w:rsidR="008C00EC">
        <w:t>d</w:t>
      </w:r>
      <w:r w:rsidR="00636BC0">
        <w:t>i entalpia di fusi</w:t>
      </w:r>
      <w:r w:rsidR="00504714">
        <w:t>o</w:t>
      </w:r>
      <w:r w:rsidR="00636BC0">
        <w:t>ne per mole</w:t>
      </w:r>
      <w:r w:rsidR="00504714">
        <w:t>. Confrontare con i dati di letteratura</w:t>
      </w:r>
      <w:r w:rsidR="008C00EC">
        <w:t>:</w:t>
      </w:r>
      <w:r w:rsidR="00504714">
        <w:t xml:space="preserve"> </w:t>
      </w:r>
      <w:proofErr w:type="spellStart"/>
      <w:r w:rsidR="00504714">
        <w:t>T</w:t>
      </w:r>
      <w:r w:rsidR="00504714" w:rsidRPr="000B2F42">
        <w:rPr>
          <w:vertAlign w:val="subscript"/>
        </w:rPr>
        <w:t>f</w:t>
      </w:r>
      <w:proofErr w:type="spellEnd"/>
      <w:r w:rsidR="00504714">
        <w:t>= 509 K</w:t>
      </w:r>
      <w:r w:rsidR="000B2F42">
        <w:t xml:space="preserve"> e </w:t>
      </w:r>
      <w:r w:rsidR="000B2F42" w:rsidRPr="000B2F42">
        <w:rPr>
          <w:rFonts w:ascii="Symbol" w:hAnsi="Symbol"/>
        </w:rPr>
        <w:t></w:t>
      </w:r>
      <w:proofErr w:type="spellStart"/>
      <w:r w:rsidR="000B2F42" w:rsidRPr="000B2F42">
        <w:rPr>
          <w:vertAlign w:val="subscript"/>
        </w:rPr>
        <w:t>fus</w:t>
      </w:r>
      <w:r w:rsidR="000B2F42">
        <w:t>H</w:t>
      </w:r>
      <w:proofErr w:type="spellEnd"/>
      <w:r w:rsidR="000B2F42">
        <w:t xml:space="preserve">°=20 </w:t>
      </w:r>
      <w:proofErr w:type="spellStart"/>
      <w:r w:rsidR="000B2F42">
        <w:t>kJ</w:t>
      </w:r>
      <w:proofErr w:type="spellEnd"/>
      <w:r w:rsidR="000B2F42">
        <w:t>/</w:t>
      </w:r>
      <w:proofErr w:type="spellStart"/>
      <w:r w:rsidR="000B2F42">
        <w:t>mol</w:t>
      </w:r>
      <w:proofErr w:type="spellEnd"/>
      <w:r w:rsidR="008C00EC">
        <w:t xml:space="preserve"> dal NIST </w:t>
      </w:r>
      <w:proofErr w:type="spellStart"/>
      <w:r w:rsidR="008C00EC">
        <w:t>Webbook</w:t>
      </w:r>
      <w:proofErr w:type="spellEnd"/>
      <w:r w:rsidR="008C00EC">
        <w:t xml:space="preserve"> </w:t>
      </w:r>
      <w:r w:rsidR="008C00EC" w:rsidRPr="008C00EC">
        <w:t>https://webbook.nist.gov/cgi/cbook.cgi?ID=C58082&amp;Units=SI&amp;Mask=4EF</w:t>
      </w:r>
    </w:p>
    <w:p w:rsidR="00CC175E" w:rsidRDefault="00CC175E" w:rsidP="006363F3">
      <w:r>
        <w:t>Esportare i dati in E</w:t>
      </w:r>
      <w:r w:rsidR="00A10AF1">
        <w:t>x</w:t>
      </w:r>
      <w:r>
        <w:t xml:space="preserve">cel e trasformare da </w:t>
      </w:r>
      <w:r w:rsidR="00A10AF1">
        <w:t xml:space="preserve">flusso di calore a </w:t>
      </w:r>
      <w:proofErr w:type="spellStart"/>
      <w:r w:rsidR="00A10AF1">
        <w:t>Cp</w:t>
      </w:r>
      <w:proofErr w:type="spellEnd"/>
      <w:r w:rsidR="00A10AF1">
        <w:t xml:space="preserve"> e poi integrare per ottenere la </w:t>
      </w:r>
      <w:r w:rsidR="00A10AF1" w:rsidRPr="00A10AF1">
        <w:rPr>
          <w:rFonts w:ascii="Symbol" w:hAnsi="Symbol"/>
        </w:rPr>
        <w:t></w:t>
      </w:r>
      <w:r w:rsidR="00A10AF1">
        <w:t>H del picco.</w:t>
      </w:r>
    </w:p>
    <w:p w:rsidR="00A50B21" w:rsidRDefault="005B566E" w:rsidP="005B566E">
      <w:pPr>
        <w:pStyle w:val="Titolo2"/>
      </w:pPr>
      <w:r>
        <w:t>2 Solidificazione e fusione della miscela binaria acqua-glicerolo</w:t>
      </w:r>
      <w:r w:rsidR="00276017">
        <w:t xml:space="preserve"> [2]</w:t>
      </w:r>
    </w:p>
    <w:p w:rsidR="008C37D5" w:rsidRDefault="005B566E" w:rsidP="005B566E">
      <w:pPr>
        <w:pStyle w:val="Titolo3"/>
      </w:pPr>
      <w:r>
        <w:t xml:space="preserve">2.1 </w:t>
      </w:r>
      <w:r w:rsidR="000C1F46">
        <w:t xml:space="preserve">Preparazione </w:t>
      </w:r>
      <w:r w:rsidR="007136E5">
        <w:t xml:space="preserve">per pesata di </w:t>
      </w:r>
      <w:r w:rsidR="000C1F46">
        <w:t>m</w:t>
      </w:r>
      <w:r w:rsidR="008C37D5">
        <w:t>iscele acqua glicerolo</w:t>
      </w:r>
    </w:p>
    <w:p w:rsidR="005045E4" w:rsidRDefault="005045E4">
      <w:r>
        <w:t>Ciascun gruppo prepara un campione</w:t>
      </w:r>
    </w:p>
    <w:p w:rsidR="000C1F46" w:rsidRDefault="000C1F46">
      <w:r>
        <w:t xml:space="preserve">Pesare con la bilancia analitica un flaconcino da 2 </w:t>
      </w:r>
      <w:proofErr w:type="spellStart"/>
      <w:r>
        <w:t>mL</w:t>
      </w:r>
      <w:proofErr w:type="spellEnd"/>
      <w:r>
        <w:t xml:space="preserve"> con il tappo</w:t>
      </w:r>
    </w:p>
    <w:p w:rsidR="002B665B" w:rsidRDefault="00DE3A3C">
      <w:r>
        <w:t>Per preparare</w:t>
      </w:r>
      <w:r w:rsidR="00A95EE0">
        <w:t xml:space="preserve"> soluzioni più ricche in </w:t>
      </w:r>
      <w:r w:rsidR="003D7436">
        <w:t>acqua</w:t>
      </w:r>
      <w:r w:rsidR="00B65EA1">
        <w:t xml:space="preserve"> m</w:t>
      </w:r>
      <w:r w:rsidR="00307A2D">
        <w:t xml:space="preserve">ettere </w:t>
      </w:r>
      <w:r w:rsidR="00670130">
        <w:t>1</w:t>
      </w:r>
      <w:r w:rsidR="00FA3274">
        <w:t xml:space="preserve"> </w:t>
      </w:r>
      <w:proofErr w:type="spellStart"/>
      <w:r w:rsidR="00FA3274">
        <w:t>mL</w:t>
      </w:r>
      <w:proofErr w:type="spellEnd"/>
      <w:r w:rsidR="00307A2D">
        <w:t xml:space="preserve"> di H</w:t>
      </w:r>
      <w:r w:rsidR="00307A2D" w:rsidRPr="00F8262A">
        <w:rPr>
          <w:vertAlign w:val="subscript"/>
        </w:rPr>
        <w:t>2</w:t>
      </w:r>
      <w:r w:rsidR="00307A2D">
        <w:t>O</w:t>
      </w:r>
      <w:r w:rsidR="007136E5">
        <w:t xml:space="preserve">, </w:t>
      </w:r>
      <w:r w:rsidR="000C1F46">
        <w:t>ripesar</w:t>
      </w:r>
      <w:r w:rsidR="003D7436">
        <w:t>e, a</w:t>
      </w:r>
      <w:r w:rsidR="000C1F46">
        <w:t>ggiungere alcune gocce di glicerolo e ripesare</w:t>
      </w:r>
      <w:r w:rsidR="00F870CC">
        <w:t xml:space="preserve"> (v. tabelle)</w:t>
      </w:r>
      <w:r w:rsidR="00E45B80">
        <w:t>. Agitare con il vortex.</w:t>
      </w:r>
      <w:r w:rsidR="000C1F46">
        <w:t xml:space="preserve"> </w:t>
      </w:r>
    </w:p>
    <w:p w:rsidR="003D7436" w:rsidRDefault="003D7436">
      <w:r>
        <w:t>Per preparare le soluzioni più ricche in glicerolo</w:t>
      </w:r>
      <w:r w:rsidR="007136E5">
        <w:t xml:space="preserve"> mettere </w:t>
      </w:r>
      <w:r w:rsidR="00670130">
        <w:t>1</w:t>
      </w:r>
      <w:r w:rsidR="007136E5">
        <w:t xml:space="preserve"> </w:t>
      </w:r>
      <w:proofErr w:type="spellStart"/>
      <w:r w:rsidR="007136E5">
        <w:t>mL</w:t>
      </w:r>
      <w:proofErr w:type="spellEnd"/>
      <w:r w:rsidR="007136E5">
        <w:t xml:space="preserve"> di glicerolo, ripesare, aggiungere alcune gocce di H</w:t>
      </w:r>
      <w:r w:rsidR="007136E5" w:rsidRPr="00F8262A">
        <w:rPr>
          <w:vertAlign w:val="subscript"/>
        </w:rPr>
        <w:t>2</w:t>
      </w:r>
      <w:r w:rsidR="007136E5">
        <w:t>O e ripesare</w:t>
      </w:r>
      <w:r w:rsidR="00E45B80">
        <w:t>. Agitare con il vortex.</w:t>
      </w:r>
    </w:p>
    <w:p w:rsidR="00B65EA1" w:rsidRDefault="00B65EA1">
      <w:r w:rsidRPr="008A594F">
        <w:rPr>
          <w:b/>
        </w:rPr>
        <w:t>Tabella 1</w:t>
      </w:r>
      <w:r>
        <w:t xml:space="preserve"> Concentrazion</w:t>
      </w:r>
      <w:r w:rsidR="008A594F">
        <w:t>i</w:t>
      </w:r>
      <w:r>
        <w:t xml:space="preserve"> delle soluzioni più ricche in H2O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8"/>
        <w:gridCol w:w="1195"/>
        <w:gridCol w:w="1307"/>
        <w:gridCol w:w="1082"/>
        <w:gridCol w:w="1421"/>
        <w:gridCol w:w="1307"/>
        <w:gridCol w:w="1376"/>
      </w:tblGrid>
      <w:tr w:rsidR="007136E5" w:rsidTr="007136E5">
        <w:tc>
          <w:tcPr>
            <w:tcW w:w="1061" w:type="dxa"/>
          </w:tcPr>
          <w:p w:rsidR="007136E5" w:rsidRDefault="007136E5" w:rsidP="00DE3A3C">
            <w:r>
              <w:t>Massa flaconcino/g</w:t>
            </w:r>
          </w:p>
        </w:tc>
        <w:tc>
          <w:tcPr>
            <w:tcW w:w="1253" w:type="dxa"/>
          </w:tcPr>
          <w:p w:rsidR="007136E5" w:rsidRDefault="007136E5" w:rsidP="00DE3A3C">
            <w:bookmarkStart w:id="1" w:name="_Hlk211244280"/>
            <w:bookmarkStart w:id="2" w:name="_Hlk211244210"/>
            <w:r>
              <w:t>Massa H</w:t>
            </w:r>
            <w:r w:rsidRPr="00F8262A">
              <w:rPr>
                <w:vertAlign w:val="subscript"/>
              </w:rPr>
              <w:t>2</w:t>
            </w:r>
            <w:r>
              <w:t>O/g</w:t>
            </w:r>
            <w:bookmarkEnd w:id="1"/>
          </w:p>
        </w:tc>
        <w:tc>
          <w:tcPr>
            <w:tcW w:w="1353" w:type="dxa"/>
          </w:tcPr>
          <w:p w:rsidR="007136E5" w:rsidRDefault="007136E5" w:rsidP="00DE3A3C">
            <w:proofErr w:type="spellStart"/>
            <w:r>
              <w:t>Gtt</w:t>
            </w:r>
            <w:proofErr w:type="spellEnd"/>
            <w:r>
              <w:t xml:space="preserve"> glicerolo</w:t>
            </w:r>
          </w:p>
        </w:tc>
        <w:tc>
          <w:tcPr>
            <w:tcW w:w="1124" w:type="dxa"/>
          </w:tcPr>
          <w:p w:rsidR="007136E5" w:rsidRDefault="007136E5" w:rsidP="00DE3A3C">
            <w:r>
              <w:t>Massa tot/g</w:t>
            </w:r>
          </w:p>
        </w:tc>
        <w:tc>
          <w:tcPr>
            <w:tcW w:w="1456" w:type="dxa"/>
          </w:tcPr>
          <w:p w:rsidR="007136E5" w:rsidRDefault="007136E5" w:rsidP="00DE3A3C">
            <w:r>
              <w:t>Massa glicerolo/g</w:t>
            </w:r>
          </w:p>
        </w:tc>
        <w:tc>
          <w:tcPr>
            <w:tcW w:w="1353" w:type="dxa"/>
          </w:tcPr>
          <w:p w:rsidR="007136E5" w:rsidRDefault="007136E5" w:rsidP="00DE3A3C">
            <w:r>
              <w:t>% w/w glicerolo</w:t>
            </w:r>
          </w:p>
        </w:tc>
        <w:tc>
          <w:tcPr>
            <w:tcW w:w="1416" w:type="dxa"/>
          </w:tcPr>
          <w:p w:rsidR="007136E5" w:rsidRDefault="007136E5" w:rsidP="00DE3A3C">
            <w:proofErr w:type="spellStart"/>
            <w:r>
              <w:t>Xglicerolo</w:t>
            </w:r>
            <w:proofErr w:type="spellEnd"/>
          </w:p>
        </w:tc>
      </w:tr>
      <w:tr w:rsidR="007136E5" w:rsidTr="007136E5">
        <w:tc>
          <w:tcPr>
            <w:tcW w:w="1061" w:type="dxa"/>
          </w:tcPr>
          <w:p w:rsidR="007136E5" w:rsidRDefault="007136E5" w:rsidP="00DE3A3C"/>
        </w:tc>
        <w:tc>
          <w:tcPr>
            <w:tcW w:w="1253" w:type="dxa"/>
          </w:tcPr>
          <w:p w:rsidR="007136E5" w:rsidRDefault="007136E5" w:rsidP="00DE3A3C"/>
        </w:tc>
        <w:tc>
          <w:tcPr>
            <w:tcW w:w="1353" w:type="dxa"/>
          </w:tcPr>
          <w:p w:rsidR="007136E5" w:rsidRDefault="00670130" w:rsidP="00DE3A3C">
            <w:r>
              <w:t>4</w:t>
            </w:r>
          </w:p>
        </w:tc>
        <w:tc>
          <w:tcPr>
            <w:tcW w:w="1124" w:type="dxa"/>
          </w:tcPr>
          <w:p w:rsidR="007136E5" w:rsidRDefault="007136E5" w:rsidP="00DE3A3C"/>
        </w:tc>
        <w:tc>
          <w:tcPr>
            <w:tcW w:w="1456" w:type="dxa"/>
          </w:tcPr>
          <w:p w:rsidR="007136E5" w:rsidRDefault="007136E5" w:rsidP="00DE3A3C"/>
        </w:tc>
        <w:tc>
          <w:tcPr>
            <w:tcW w:w="1353" w:type="dxa"/>
          </w:tcPr>
          <w:p w:rsidR="007136E5" w:rsidRDefault="007136E5" w:rsidP="00DE3A3C"/>
        </w:tc>
        <w:tc>
          <w:tcPr>
            <w:tcW w:w="1416" w:type="dxa"/>
          </w:tcPr>
          <w:p w:rsidR="007136E5" w:rsidRDefault="007136E5" w:rsidP="00DE3A3C"/>
        </w:tc>
      </w:tr>
      <w:tr w:rsidR="007136E5" w:rsidTr="007136E5">
        <w:tc>
          <w:tcPr>
            <w:tcW w:w="1061" w:type="dxa"/>
          </w:tcPr>
          <w:p w:rsidR="007136E5" w:rsidRDefault="007136E5" w:rsidP="00DE3A3C"/>
        </w:tc>
        <w:tc>
          <w:tcPr>
            <w:tcW w:w="1253" w:type="dxa"/>
          </w:tcPr>
          <w:p w:rsidR="007136E5" w:rsidRDefault="007136E5" w:rsidP="00DE3A3C"/>
        </w:tc>
        <w:tc>
          <w:tcPr>
            <w:tcW w:w="1353" w:type="dxa"/>
          </w:tcPr>
          <w:p w:rsidR="007136E5" w:rsidRDefault="00670130" w:rsidP="00DE3A3C">
            <w:r>
              <w:t>8</w:t>
            </w:r>
          </w:p>
        </w:tc>
        <w:tc>
          <w:tcPr>
            <w:tcW w:w="1124" w:type="dxa"/>
          </w:tcPr>
          <w:p w:rsidR="007136E5" w:rsidRDefault="007136E5" w:rsidP="00DE3A3C"/>
        </w:tc>
        <w:tc>
          <w:tcPr>
            <w:tcW w:w="1456" w:type="dxa"/>
          </w:tcPr>
          <w:p w:rsidR="007136E5" w:rsidRDefault="007136E5" w:rsidP="00DE3A3C"/>
        </w:tc>
        <w:tc>
          <w:tcPr>
            <w:tcW w:w="1353" w:type="dxa"/>
          </w:tcPr>
          <w:p w:rsidR="007136E5" w:rsidRDefault="007136E5" w:rsidP="00DE3A3C"/>
        </w:tc>
        <w:tc>
          <w:tcPr>
            <w:tcW w:w="1416" w:type="dxa"/>
          </w:tcPr>
          <w:p w:rsidR="007136E5" w:rsidRDefault="007136E5" w:rsidP="00DE3A3C"/>
        </w:tc>
      </w:tr>
      <w:tr w:rsidR="007136E5" w:rsidTr="007136E5">
        <w:tc>
          <w:tcPr>
            <w:tcW w:w="1061" w:type="dxa"/>
          </w:tcPr>
          <w:p w:rsidR="007136E5" w:rsidRDefault="007136E5" w:rsidP="00DE3A3C"/>
        </w:tc>
        <w:tc>
          <w:tcPr>
            <w:tcW w:w="1253" w:type="dxa"/>
          </w:tcPr>
          <w:p w:rsidR="007136E5" w:rsidRDefault="007136E5" w:rsidP="00DE3A3C"/>
        </w:tc>
        <w:tc>
          <w:tcPr>
            <w:tcW w:w="1353" w:type="dxa"/>
          </w:tcPr>
          <w:p w:rsidR="007136E5" w:rsidRDefault="00670130" w:rsidP="00DE3A3C">
            <w:r>
              <w:t>12</w:t>
            </w:r>
          </w:p>
        </w:tc>
        <w:tc>
          <w:tcPr>
            <w:tcW w:w="1124" w:type="dxa"/>
          </w:tcPr>
          <w:p w:rsidR="007136E5" w:rsidRDefault="007136E5" w:rsidP="00DE3A3C"/>
        </w:tc>
        <w:tc>
          <w:tcPr>
            <w:tcW w:w="1456" w:type="dxa"/>
          </w:tcPr>
          <w:p w:rsidR="007136E5" w:rsidRDefault="007136E5" w:rsidP="00DE3A3C"/>
        </w:tc>
        <w:tc>
          <w:tcPr>
            <w:tcW w:w="1353" w:type="dxa"/>
          </w:tcPr>
          <w:p w:rsidR="007136E5" w:rsidRDefault="007136E5" w:rsidP="00DE3A3C"/>
        </w:tc>
        <w:tc>
          <w:tcPr>
            <w:tcW w:w="1416" w:type="dxa"/>
          </w:tcPr>
          <w:p w:rsidR="007136E5" w:rsidRDefault="007136E5" w:rsidP="00DE3A3C"/>
        </w:tc>
      </w:tr>
      <w:tr w:rsidR="007136E5" w:rsidTr="007136E5">
        <w:tc>
          <w:tcPr>
            <w:tcW w:w="1061" w:type="dxa"/>
          </w:tcPr>
          <w:p w:rsidR="007136E5" w:rsidRDefault="007136E5" w:rsidP="00DE3A3C"/>
        </w:tc>
        <w:tc>
          <w:tcPr>
            <w:tcW w:w="1253" w:type="dxa"/>
          </w:tcPr>
          <w:p w:rsidR="007136E5" w:rsidRDefault="007136E5" w:rsidP="00DE3A3C"/>
        </w:tc>
        <w:tc>
          <w:tcPr>
            <w:tcW w:w="1353" w:type="dxa"/>
          </w:tcPr>
          <w:p w:rsidR="007136E5" w:rsidRDefault="00670130" w:rsidP="00DE3A3C">
            <w:r>
              <w:t>16</w:t>
            </w:r>
          </w:p>
        </w:tc>
        <w:tc>
          <w:tcPr>
            <w:tcW w:w="1124" w:type="dxa"/>
          </w:tcPr>
          <w:p w:rsidR="007136E5" w:rsidRDefault="007136E5" w:rsidP="00DE3A3C"/>
        </w:tc>
        <w:tc>
          <w:tcPr>
            <w:tcW w:w="1456" w:type="dxa"/>
          </w:tcPr>
          <w:p w:rsidR="007136E5" w:rsidRDefault="007136E5" w:rsidP="00DE3A3C"/>
        </w:tc>
        <w:tc>
          <w:tcPr>
            <w:tcW w:w="1353" w:type="dxa"/>
          </w:tcPr>
          <w:p w:rsidR="007136E5" w:rsidRDefault="007136E5" w:rsidP="00DE3A3C"/>
        </w:tc>
        <w:tc>
          <w:tcPr>
            <w:tcW w:w="1416" w:type="dxa"/>
          </w:tcPr>
          <w:p w:rsidR="007136E5" w:rsidRDefault="007136E5" w:rsidP="00DE3A3C"/>
        </w:tc>
      </w:tr>
      <w:tr w:rsidR="007136E5" w:rsidTr="007136E5">
        <w:tc>
          <w:tcPr>
            <w:tcW w:w="1061" w:type="dxa"/>
          </w:tcPr>
          <w:p w:rsidR="007136E5" w:rsidRDefault="007136E5" w:rsidP="00DE3A3C"/>
        </w:tc>
        <w:tc>
          <w:tcPr>
            <w:tcW w:w="1253" w:type="dxa"/>
          </w:tcPr>
          <w:p w:rsidR="007136E5" w:rsidRDefault="007136E5" w:rsidP="00DE3A3C"/>
        </w:tc>
        <w:tc>
          <w:tcPr>
            <w:tcW w:w="1353" w:type="dxa"/>
          </w:tcPr>
          <w:p w:rsidR="007136E5" w:rsidRDefault="00670130" w:rsidP="00DE3A3C">
            <w:r>
              <w:t>20</w:t>
            </w:r>
          </w:p>
        </w:tc>
        <w:tc>
          <w:tcPr>
            <w:tcW w:w="1124" w:type="dxa"/>
          </w:tcPr>
          <w:p w:rsidR="007136E5" w:rsidRDefault="007136E5" w:rsidP="00DE3A3C"/>
        </w:tc>
        <w:tc>
          <w:tcPr>
            <w:tcW w:w="1456" w:type="dxa"/>
          </w:tcPr>
          <w:p w:rsidR="007136E5" w:rsidRDefault="007136E5" w:rsidP="00DE3A3C"/>
        </w:tc>
        <w:tc>
          <w:tcPr>
            <w:tcW w:w="1353" w:type="dxa"/>
          </w:tcPr>
          <w:p w:rsidR="007136E5" w:rsidRDefault="007136E5" w:rsidP="00DE3A3C"/>
        </w:tc>
        <w:tc>
          <w:tcPr>
            <w:tcW w:w="1416" w:type="dxa"/>
          </w:tcPr>
          <w:p w:rsidR="007136E5" w:rsidRDefault="007136E5" w:rsidP="00DE3A3C"/>
        </w:tc>
      </w:tr>
      <w:bookmarkEnd w:id="2"/>
    </w:tbl>
    <w:p w:rsidR="000C1F46" w:rsidRDefault="000C1F46" w:rsidP="00DE3A3C"/>
    <w:p w:rsidR="00DE3A3C" w:rsidRDefault="004D4C31" w:rsidP="00DE3A3C">
      <w:r w:rsidRPr="008A594F">
        <w:rPr>
          <w:b/>
        </w:rPr>
        <w:t>Tabella 2</w:t>
      </w:r>
      <w:r>
        <w:t xml:space="preserve"> Concentrazion</w:t>
      </w:r>
      <w:r w:rsidR="008A594F">
        <w:t>i</w:t>
      </w:r>
      <w:r>
        <w:t xml:space="preserve"> delle soluzioni più ricche in glicerolo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8"/>
        <w:gridCol w:w="1350"/>
        <w:gridCol w:w="1149"/>
        <w:gridCol w:w="1083"/>
        <w:gridCol w:w="1421"/>
        <w:gridCol w:w="1308"/>
        <w:gridCol w:w="1377"/>
      </w:tblGrid>
      <w:tr w:rsidR="007136E5" w:rsidTr="007136E5">
        <w:tc>
          <w:tcPr>
            <w:tcW w:w="1061" w:type="dxa"/>
          </w:tcPr>
          <w:p w:rsidR="007136E5" w:rsidRDefault="007136E5" w:rsidP="001A60A9">
            <w:r>
              <w:t>Massa flaconcino/g</w:t>
            </w:r>
          </w:p>
        </w:tc>
        <w:tc>
          <w:tcPr>
            <w:tcW w:w="1376" w:type="dxa"/>
          </w:tcPr>
          <w:p w:rsidR="007136E5" w:rsidRDefault="007136E5" w:rsidP="001A60A9">
            <w:r>
              <w:t>Massa glicerolo/g</w:t>
            </w:r>
          </w:p>
        </w:tc>
        <w:tc>
          <w:tcPr>
            <w:tcW w:w="1230" w:type="dxa"/>
          </w:tcPr>
          <w:p w:rsidR="007136E5" w:rsidRDefault="007136E5" w:rsidP="001A60A9">
            <w:proofErr w:type="spellStart"/>
            <w:r>
              <w:t>Gtt</w:t>
            </w:r>
            <w:proofErr w:type="spellEnd"/>
            <w:r>
              <w:t xml:space="preserve"> H</w:t>
            </w:r>
            <w:r w:rsidRPr="00F8262A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124" w:type="dxa"/>
          </w:tcPr>
          <w:p w:rsidR="007136E5" w:rsidRDefault="007136E5" w:rsidP="001A60A9">
            <w:r>
              <w:t>Massa tot/g</w:t>
            </w:r>
          </w:p>
        </w:tc>
        <w:tc>
          <w:tcPr>
            <w:tcW w:w="1456" w:type="dxa"/>
          </w:tcPr>
          <w:p w:rsidR="007136E5" w:rsidRDefault="007136E5" w:rsidP="001A60A9">
            <w:r>
              <w:t>Massa glicerolo/g</w:t>
            </w:r>
          </w:p>
        </w:tc>
        <w:tc>
          <w:tcPr>
            <w:tcW w:w="1353" w:type="dxa"/>
          </w:tcPr>
          <w:p w:rsidR="007136E5" w:rsidRDefault="007136E5" w:rsidP="001A60A9">
            <w:r>
              <w:t>% w/w glicerolo</w:t>
            </w:r>
          </w:p>
        </w:tc>
        <w:tc>
          <w:tcPr>
            <w:tcW w:w="1416" w:type="dxa"/>
          </w:tcPr>
          <w:p w:rsidR="007136E5" w:rsidRDefault="007136E5" w:rsidP="001A60A9">
            <w:proofErr w:type="spellStart"/>
            <w:r>
              <w:t>Xglicerolo</w:t>
            </w:r>
            <w:proofErr w:type="spellEnd"/>
          </w:p>
        </w:tc>
      </w:tr>
      <w:tr w:rsidR="007136E5" w:rsidTr="007136E5">
        <w:tc>
          <w:tcPr>
            <w:tcW w:w="1061" w:type="dxa"/>
          </w:tcPr>
          <w:p w:rsidR="007136E5" w:rsidRDefault="007136E5" w:rsidP="001A60A9"/>
        </w:tc>
        <w:tc>
          <w:tcPr>
            <w:tcW w:w="1376" w:type="dxa"/>
          </w:tcPr>
          <w:p w:rsidR="007136E5" w:rsidRDefault="007136E5" w:rsidP="001A60A9"/>
        </w:tc>
        <w:tc>
          <w:tcPr>
            <w:tcW w:w="1230" w:type="dxa"/>
          </w:tcPr>
          <w:p w:rsidR="007136E5" w:rsidRDefault="00670130" w:rsidP="001A60A9">
            <w:r>
              <w:t>4</w:t>
            </w:r>
          </w:p>
        </w:tc>
        <w:tc>
          <w:tcPr>
            <w:tcW w:w="1124" w:type="dxa"/>
          </w:tcPr>
          <w:p w:rsidR="007136E5" w:rsidRDefault="007136E5" w:rsidP="001A60A9"/>
        </w:tc>
        <w:tc>
          <w:tcPr>
            <w:tcW w:w="1456" w:type="dxa"/>
          </w:tcPr>
          <w:p w:rsidR="007136E5" w:rsidRDefault="007136E5" w:rsidP="001A60A9"/>
        </w:tc>
        <w:tc>
          <w:tcPr>
            <w:tcW w:w="1353" w:type="dxa"/>
          </w:tcPr>
          <w:p w:rsidR="007136E5" w:rsidRDefault="007136E5" w:rsidP="001A60A9"/>
        </w:tc>
        <w:tc>
          <w:tcPr>
            <w:tcW w:w="1416" w:type="dxa"/>
          </w:tcPr>
          <w:p w:rsidR="007136E5" w:rsidRDefault="007136E5" w:rsidP="001A60A9"/>
        </w:tc>
      </w:tr>
      <w:tr w:rsidR="007136E5" w:rsidTr="007136E5">
        <w:tc>
          <w:tcPr>
            <w:tcW w:w="1061" w:type="dxa"/>
          </w:tcPr>
          <w:p w:rsidR="007136E5" w:rsidRDefault="007136E5" w:rsidP="001A60A9"/>
        </w:tc>
        <w:tc>
          <w:tcPr>
            <w:tcW w:w="1376" w:type="dxa"/>
          </w:tcPr>
          <w:p w:rsidR="007136E5" w:rsidRDefault="007136E5" w:rsidP="001A60A9"/>
        </w:tc>
        <w:tc>
          <w:tcPr>
            <w:tcW w:w="1230" w:type="dxa"/>
          </w:tcPr>
          <w:p w:rsidR="007136E5" w:rsidRDefault="00670130" w:rsidP="001A60A9">
            <w:r>
              <w:t>8</w:t>
            </w:r>
          </w:p>
        </w:tc>
        <w:tc>
          <w:tcPr>
            <w:tcW w:w="1124" w:type="dxa"/>
          </w:tcPr>
          <w:p w:rsidR="007136E5" w:rsidRDefault="007136E5" w:rsidP="001A60A9"/>
        </w:tc>
        <w:tc>
          <w:tcPr>
            <w:tcW w:w="1456" w:type="dxa"/>
          </w:tcPr>
          <w:p w:rsidR="007136E5" w:rsidRDefault="007136E5" w:rsidP="001A60A9"/>
        </w:tc>
        <w:tc>
          <w:tcPr>
            <w:tcW w:w="1353" w:type="dxa"/>
          </w:tcPr>
          <w:p w:rsidR="007136E5" w:rsidRDefault="007136E5" w:rsidP="001A60A9"/>
        </w:tc>
        <w:tc>
          <w:tcPr>
            <w:tcW w:w="1416" w:type="dxa"/>
          </w:tcPr>
          <w:p w:rsidR="007136E5" w:rsidRDefault="007136E5" w:rsidP="001A60A9"/>
        </w:tc>
      </w:tr>
      <w:tr w:rsidR="007136E5" w:rsidTr="007136E5">
        <w:tc>
          <w:tcPr>
            <w:tcW w:w="1061" w:type="dxa"/>
          </w:tcPr>
          <w:p w:rsidR="007136E5" w:rsidRDefault="007136E5" w:rsidP="001A60A9"/>
        </w:tc>
        <w:tc>
          <w:tcPr>
            <w:tcW w:w="1376" w:type="dxa"/>
          </w:tcPr>
          <w:p w:rsidR="007136E5" w:rsidRDefault="007136E5" w:rsidP="001A60A9"/>
        </w:tc>
        <w:tc>
          <w:tcPr>
            <w:tcW w:w="1230" w:type="dxa"/>
          </w:tcPr>
          <w:p w:rsidR="007136E5" w:rsidRDefault="00670130" w:rsidP="001A60A9">
            <w:r>
              <w:t>12</w:t>
            </w:r>
          </w:p>
        </w:tc>
        <w:tc>
          <w:tcPr>
            <w:tcW w:w="1124" w:type="dxa"/>
          </w:tcPr>
          <w:p w:rsidR="007136E5" w:rsidRDefault="007136E5" w:rsidP="001A60A9"/>
        </w:tc>
        <w:tc>
          <w:tcPr>
            <w:tcW w:w="1456" w:type="dxa"/>
          </w:tcPr>
          <w:p w:rsidR="007136E5" w:rsidRDefault="007136E5" w:rsidP="001A60A9"/>
        </w:tc>
        <w:tc>
          <w:tcPr>
            <w:tcW w:w="1353" w:type="dxa"/>
          </w:tcPr>
          <w:p w:rsidR="007136E5" w:rsidRDefault="007136E5" w:rsidP="001A60A9"/>
        </w:tc>
        <w:tc>
          <w:tcPr>
            <w:tcW w:w="1416" w:type="dxa"/>
          </w:tcPr>
          <w:p w:rsidR="007136E5" w:rsidRDefault="007136E5" w:rsidP="001A60A9"/>
        </w:tc>
      </w:tr>
      <w:tr w:rsidR="007136E5" w:rsidTr="007136E5">
        <w:tc>
          <w:tcPr>
            <w:tcW w:w="1061" w:type="dxa"/>
          </w:tcPr>
          <w:p w:rsidR="007136E5" w:rsidRDefault="007136E5" w:rsidP="001A60A9"/>
        </w:tc>
        <w:tc>
          <w:tcPr>
            <w:tcW w:w="1376" w:type="dxa"/>
          </w:tcPr>
          <w:p w:rsidR="007136E5" w:rsidRDefault="007136E5" w:rsidP="001A60A9"/>
        </w:tc>
        <w:tc>
          <w:tcPr>
            <w:tcW w:w="1230" w:type="dxa"/>
          </w:tcPr>
          <w:p w:rsidR="007136E5" w:rsidRDefault="00670130" w:rsidP="001A60A9">
            <w:r>
              <w:t>16</w:t>
            </w:r>
          </w:p>
        </w:tc>
        <w:tc>
          <w:tcPr>
            <w:tcW w:w="1124" w:type="dxa"/>
          </w:tcPr>
          <w:p w:rsidR="007136E5" w:rsidRDefault="007136E5" w:rsidP="001A60A9"/>
        </w:tc>
        <w:tc>
          <w:tcPr>
            <w:tcW w:w="1456" w:type="dxa"/>
          </w:tcPr>
          <w:p w:rsidR="007136E5" w:rsidRDefault="007136E5" w:rsidP="001A60A9"/>
        </w:tc>
        <w:tc>
          <w:tcPr>
            <w:tcW w:w="1353" w:type="dxa"/>
          </w:tcPr>
          <w:p w:rsidR="007136E5" w:rsidRDefault="007136E5" w:rsidP="001A60A9"/>
        </w:tc>
        <w:tc>
          <w:tcPr>
            <w:tcW w:w="1416" w:type="dxa"/>
          </w:tcPr>
          <w:p w:rsidR="007136E5" w:rsidRDefault="007136E5" w:rsidP="001A60A9"/>
        </w:tc>
      </w:tr>
      <w:tr w:rsidR="007136E5" w:rsidTr="007136E5">
        <w:tc>
          <w:tcPr>
            <w:tcW w:w="1061" w:type="dxa"/>
          </w:tcPr>
          <w:p w:rsidR="007136E5" w:rsidRDefault="007136E5" w:rsidP="001A60A9"/>
        </w:tc>
        <w:tc>
          <w:tcPr>
            <w:tcW w:w="1376" w:type="dxa"/>
          </w:tcPr>
          <w:p w:rsidR="007136E5" w:rsidRDefault="007136E5" w:rsidP="001A60A9"/>
        </w:tc>
        <w:tc>
          <w:tcPr>
            <w:tcW w:w="1230" w:type="dxa"/>
          </w:tcPr>
          <w:p w:rsidR="007136E5" w:rsidRDefault="00670130" w:rsidP="001A60A9">
            <w:r>
              <w:t>2</w:t>
            </w:r>
            <w:r w:rsidR="007136E5">
              <w:t>0</w:t>
            </w:r>
          </w:p>
        </w:tc>
        <w:tc>
          <w:tcPr>
            <w:tcW w:w="1124" w:type="dxa"/>
          </w:tcPr>
          <w:p w:rsidR="007136E5" w:rsidRDefault="007136E5" w:rsidP="001A60A9"/>
        </w:tc>
        <w:tc>
          <w:tcPr>
            <w:tcW w:w="1456" w:type="dxa"/>
          </w:tcPr>
          <w:p w:rsidR="007136E5" w:rsidRDefault="007136E5" w:rsidP="001A60A9"/>
        </w:tc>
        <w:tc>
          <w:tcPr>
            <w:tcW w:w="1353" w:type="dxa"/>
          </w:tcPr>
          <w:p w:rsidR="007136E5" w:rsidRDefault="007136E5" w:rsidP="001A60A9"/>
        </w:tc>
        <w:tc>
          <w:tcPr>
            <w:tcW w:w="1416" w:type="dxa"/>
          </w:tcPr>
          <w:p w:rsidR="007136E5" w:rsidRDefault="007136E5" w:rsidP="001A60A9"/>
        </w:tc>
      </w:tr>
    </w:tbl>
    <w:p w:rsidR="00D157A7" w:rsidRDefault="00D157A7" w:rsidP="00DE3A3C"/>
    <w:p w:rsidR="00E9081A" w:rsidRDefault="00E9081A" w:rsidP="00DE3A3C">
      <w:r>
        <w:t xml:space="preserve">NB per concentrazioni di glicerolo superiori a 60 % w/w non si osserva alcun picco </w:t>
      </w:r>
      <w:r w:rsidR="00F21F11">
        <w:t>nel termogramma</w:t>
      </w:r>
    </w:p>
    <w:p w:rsidR="00682132" w:rsidRDefault="00682132" w:rsidP="00DE3A3C">
      <w:r>
        <w:t xml:space="preserve">La concentrazione delle miscele acqua-glicerolo può anche essere determinata mediante la misura dell’indice di rifrazione. </w:t>
      </w:r>
      <w:r w:rsidR="00B75DEA">
        <w:t>E ’stata</w:t>
      </w:r>
      <w:r>
        <w:t xml:space="preserve"> </w:t>
      </w:r>
      <w:r w:rsidR="00B75DEA">
        <w:t xml:space="preserve">osservata una relazione lineare, </w:t>
      </w:r>
      <w:proofErr w:type="spellStart"/>
      <w:r w:rsidR="00B75DEA" w:rsidRPr="00B75DEA">
        <w:rPr>
          <w:b/>
        </w:rPr>
        <w:t>eq</w:t>
      </w:r>
      <w:proofErr w:type="spellEnd"/>
      <w:r w:rsidR="00B75DEA" w:rsidRPr="00B75DEA">
        <w:rPr>
          <w:b/>
        </w:rPr>
        <w:t>. (1)</w:t>
      </w:r>
      <w:r w:rsidR="00B75DEA">
        <w:t>, tra indice di rifrazione a 20 °C e frazioni in peso dei due componenti</w:t>
      </w:r>
      <w:r w:rsidR="006921E3">
        <w:t xml:space="preserve"> [3].</w:t>
      </w:r>
    </w:p>
    <w:p w:rsidR="00B75DEA" w:rsidRDefault="006921E3" w:rsidP="00DE3A3C">
      <w:r w:rsidRPr="006921E3">
        <w:rPr>
          <w:i/>
        </w:rPr>
        <w:t>n</w:t>
      </w:r>
      <w:r>
        <w:t>= 1.333 w</w:t>
      </w:r>
      <w:r w:rsidRPr="006921E3">
        <w:rPr>
          <w:vertAlign w:val="subscript"/>
        </w:rPr>
        <w:t xml:space="preserve">H2O </w:t>
      </w:r>
      <w:r>
        <w:t xml:space="preserve">+ 1.474 </w:t>
      </w:r>
      <w:proofErr w:type="spellStart"/>
      <w:r>
        <w:t>w</w:t>
      </w:r>
      <w:r w:rsidRPr="006921E3">
        <w:rPr>
          <w:vertAlign w:val="subscript"/>
        </w:rPr>
        <w:t>gl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921E3">
        <w:rPr>
          <w:b/>
        </w:rPr>
        <w:t>eq</w:t>
      </w:r>
      <w:proofErr w:type="spellEnd"/>
      <w:r w:rsidRPr="006921E3">
        <w:rPr>
          <w:b/>
        </w:rPr>
        <w:t>. (1)</w:t>
      </w:r>
    </w:p>
    <w:p w:rsidR="002E732F" w:rsidRDefault="005B566E" w:rsidP="005B566E">
      <w:pPr>
        <w:pStyle w:val="Titolo3"/>
      </w:pPr>
      <w:r>
        <w:t xml:space="preserve">2.2 </w:t>
      </w:r>
      <w:r w:rsidR="00D157A7">
        <w:t xml:space="preserve">Misura delle curve di raffreddamento </w:t>
      </w:r>
      <w:r>
        <w:t xml:space="preserve">e riscaldamento </w:t>
      </w:r>
      <w:r w:rsidR="00D157A7">
        <w:t>per</w:t>
      </w:r>
      <w:r>
        <w:t xml:space="preserve"> il campione</w:t>
      </w:r>
      <w:r w:rsidR="00D157A7">
        <w:t xml:space="preserve"> </w:t>
      </w:r>
      <w:r>
        <w:t>di</w:t>
      </w:r>
      <w:r w:rsidR="00D157A7">
        <w:t xml:space="preserve"> miscele acqua-glicerolo</w:t>
      </w:r>
    </w:p>
    <w:p w:rsidR="00D157A7" w:rsidRDefault="00D157A7" w:rsidP="00DE3A3C">
      <w:r>
        <w:t xml:space="preserve">Pesare il crogiolo per il campione aggiungere 20 </w:t>
      </w:r>
      <w:proofErr w:type="spellStart"/>
      <w:r>
        <w:t>ul</w:t>
      </w:r>
      <w:proofErr w:type="spellEnd"/>
      <w:r>
        <w:t xml:space="preserve"> di soluzione, ripesare per avere la massa del campione</w:t>
      </w:r>
      <w:r w:rsidR="00F73E04">
        <w:t>.</w:t>
      </w:r>
    </w:p>
    <w:p w:rsidR="00F73E04" w:rsidRDefault="00F73E04" w:rsidP="00DE3A3C">
      <w:r>
        <w:t>Raffreddare a 10 K/</w:t>
      </w:r>
      <w:proofErr w:type="spellStart"/>
      <w:r>
        <w:t>min</w:t>
      </w:r>
      <w:proofErr w:type="spellEnd"/>
      <w:r>
        <w:t xml:space="preserve"> da 25 a -60 °C, aspettare 10 </w:t>
      </w:r>
      <w:proofErr w:type="spellStart"/>
      <w:r>
        <w:t>min</w:t>
      </w:r>
      <w:proofErr w:type="spellEnd"/>
      <w:r>
        <w:t xml:space="preserve"> e scaldare a 10K/</w:t>
      </w:r>
      <w:proofErr w:type="spellStart"/>
      <w:r>
        <w:t>min</w:t>
      </w:r>
      <w:proofErr w:type="spellEnd"/>
      <w:r>
        <w:t>, ripetere con una</w:t>
      </w:r>
      <w:r w:rsidR="005B566E">
        <w:t xml:space="preserve"> </w:t>
      </w:r>
      <w:r>
        <w:t>velocità di scansione di 20 K/</w:t>
      </w:r>
      <w:proofErr w:type="spellStart"/>
      <w:r>
        <w:t>min</w:t>
      </w:r>
      <w:proofErr w:type="spellEnd"/>
      <w:r>
        <w:t xml:space="preserve"> ed una</w:t>
      </w:r>
      <w:r w:rsidR="005B566E">
        <w:t xml:space="preserve"> </w:t>
      </w:r>
      <w:r>
        <w:t>di 5 K/min.</w:t>
      </w:r>
    </w:p>
    <w:p w:rsidR="005B566E" w:rsidRDefault="002C1BD6" w:rsidP="002C1BD6">
      <w:pPr>
        <w:pStyle w:val="Titolo3"/>
      </w:pPr>
      <w:r>
        <w:t xml:space="preserve">2.3 </w:t>
      </w:r>
      <w:r w:rsidR="005B566E">
        <w:t>Analisi dei dati</w:t>
      </w:r>
    </w:p>
    <w:p w:rsidR="005B566E" w:rsidRDefault="005B566E" w:rsidP="00DE3A3C">
      <w:r>
        <w:t xml:space="preserve">Dal software dello strumento </w:t>
      </w:r>
      <w:r w:rsidR="00E4674B">
        <w:t xml:space="preserve">determinare la T di </w:t>
      </w:r>
      <w:proofErr w:type="spellStart"/>
      <w:r w:rsidR="00E4674B">
        <w:t>onset</w:t>
      </w:r>
      <w:proofErr w:type="spellEnd"/>
      <w:r w:rsidR="00E4674B">
        <w:t xml:space="preserve"> per la solidificazione a tutte e 3 le velocità di scansione. </w:t>
      </w:r>
      <w:r>
        <w:t xml:space="preserve">Riportare in relazione </w:t>
      </w:r>
      <w:r w:rsidR="00E4674B">
        <w:t>le figure delle singole curve e quella con le tre curve sovrapposte.</w:t>
      </w:r>
    </w:p>
    <w:p w:rsidR="00CB24D1" w:rsidRDefault="00CB24D1" w:rsidP="005045E4">
      <w:pPr>
        <w:pStyle w:val="Titolo2"/>
      </w:pPr>
      <w:r>
        <w:t>Riferimenti</w:t>
      </w:r>
    </w:p>
    <w:p w:rsidR="00037541" w:rsidRDefault="00037541" w:rsidP="0020724E">
      <w:pPr>
        <w:rPr>
          <w:lang w:val="en-US"/>
        </w:rPr>
      </w:pPr>
      <w:r w:rsidRPr="00E9081A">
        <w:t xml:space="preserve">[1] </w:t>
      </w:r>
      <w:r w:rsidR="0020724E" w:rsidRPr="00E9081A">
        <w:t xml:space="preserve">S. </w:t>
      </w:r>
      <w:proofErr w:type="spellStart"/>
      <w:r w:rsidR="0020724E" w:rsidRPr="00E9081A">
        <w:t>Hubert</w:t>
      </w:r>
      <w:proofErr w:type="spellEnd"/>
      <w:r w:rsidR="0020724E" w:rsidRPr="00E9081A">
        <w:t xml:space="preserve"> et al. </w:t>
      </w:r>
      <w:r w:rsidR="0020724E" w:rsidRPr="0020724E">
        <w:rPr>
          <w:lang w:val="en-US"/>
        </w:rPr>
        <w:t>Process induced transformations during tablet manufacturing: Phase transition analysis of caffeine using DSC and low frequency micro-Raman spectroscopy,</w:t>
      </w:r>
      <w:r w:rsidR="00237F9E">
        <w:rPr>
          <w:lang w:val="en-US"/>
        </w:rPr>
        <w:t xml:space="preserve"> </w:t>
      </w:r>
      <w:r w:rsidR="0020724E" w:rsidRPr="0020724E">
        <w:rPr>
          <w:lang w:val="en-US"/>
        </w:rPr>
        <w:t>Int</w:t>
      </w:r>
      <w:r w:rsidR="00237F9E">
        <w:rPr>
          <w:lang w:val="en-US"/>
        </w:rPr>
        <w:t>.</w:t>
      </w:r>
      <w:r w:rsidR="0020724E" w:rsidRPr="0020724E">
        <w:rPr>
          <w:lang w:val="en-US"/>
        </w:rPr>
        <w:t xml:space="preserve"> J</w:t>
      </w:r>
      <w:r w:rsidR="00237F9E">
        <w:rPr>
          <w:lang w:val="en-US"/>
        </w:rPr>
        <w:t xml:space="preserve">. </w:t>
      </w:r>
      <w:r w:rsidR="0020724E" w:rsidRPr="0020724E">
        <w:rPr>
          <w:lang w:val="en-US"/>
        </w:rPr>
        <w:t>Phar</w:t>
      </w:r>
      <w:r w:rsidR="00237F9E">
        <w:rPr>
          <w:lang w:val="en-US"/>
        </w:rPr>
        <w:t xml:space="preserve">m. 2011, </w:t>
      </w:r>
      <w:r w:rsidR="0020724E" w:rsidRPr="0020724E">
        <w:rPr>
          <w:lang w:val="en-US"/>
        </w:rPr>
        <w:t>420</w:t>
      </w:r>
      <w:r w:rsidR="00237F9E">
        <w:rPr>
          <w:lang w:val="en-US"/>
        </w:rPr>
        <w:t xml:space="preserve"> (1)</w:t>
      </w:r>
      <w:r w:rsidR="0020724E" w:rsidRPr="0020724E">
        <w:rPr>
          <w:lang w:val="en-US"/>
        </w:rPr>
        <w:t xml:space="preserve"> </w:t>
      </w:r>
      <w:r w:rsidR="00237F9E">
        <w:rPr>
          <w:lang w:val="en-US"/>
        </w:rPr>
        <w:t>7</w:t>
      </w:r>
      <w:r w:rsidR="0020724E" w:rsidRPr="0020724E">
        <w:rPr>
          <w:lang w:val="en-US"/>
        </w:rPr>
        <w:t>6-83,</w:t>
      </w:r>
      <w:r w:rsidR="00237F9E">
        <w:rPr>
          <w:lang w:val="en-US"/>
        </w:rPr>
        <w:t xml:space="preserve"> </w:t>
      </w:r>
      <w:hyperlink r:id="rId6" w:history="1">
        <w:r w:rsidR="005045E4" w:rsidRPr="00473709">
          <w:rPr>
            <w:rStyle w:val="Collegamentoipertestuale"/>
            <w:lang w:val="en-US"/>
          </w:rPr>
          <w:t>https://doi.org/10.1016/j.ijpharm.2011.08.028</w:t>
        </w:r>
      </w:hyperlink>
    </w:p>
    <w:p w:rsidR="00F8262A" w:rsidRDefault="005045E4" w:rsidP="00F8262A">
      <w:pPr>
        <w:rPr>
          <w:lang w:val="en-US"/>
        </w:rPr>
      </w:pPr>
      <w:r>
        <w:rPr>
          <w:lang w:val="en-US"/>
        </w:rPr>
        <w:t>[2]</w:t>
      </w:r>
      <w:r w:rsidR="00FD1DDC">
        <w:rPr>
          <w:lang w:val="en-US"/>
        </w:rPr>
        <w:t xml:space="preserve"> </w:t>
      </w:r>
      <w:r w:rsidR="00F8262A" w:rsidRPr="00F8262A">
        <w:rPr>
          <w:lang w:val="en-US"/>
        </w:rPr>
        <w:t>A</w:t>
      </w:r>
      <w:r w:rsidR="00F8262A">
        <w:rPr>
          <w:lang w:val="en-US"/>
        </w:rPr>
        <w:t xml:space="preserve">. </w:t>
      </w:r>
      <w:r w:rsidR="00F8262A" w:rsidRPr="00F8262A">
        <w:rPr>
          <w:lang w:val="en-US"/>
        </w:rPr>
        <w:t>D. Schwab</w:t>
      </w:r>
      <w:r w:rsidR="00F8262A">
        <w:rPr>
          <w:lang w:val="en-US"/>
        </w:rPr>
        <w:t xml:space="preserve"> </w:t>
      </w:r>
      <w:r w:rsidR="00F8262A" w:rsidRPr="00F8262A">
        <w:rPr>
          <w:lang w:val="en-US"/>
        </w:rPr>
        <w:t>Glycerol as a Cryoprotectant: An Undergraduate Experiment Using Differential Scanning Calorimetry to Study Glycerol–Water Mixtures</w:t>
      </w:r>
      <w:r w:rsidR="00F8262A">
        <w:rPr>
          <w:lang w:val="en-US"/>
        </w:rPr>
        <w:t xml:space="preserve"> </w:t>
      </w:r>
      <w:r w:rsidR="00F8262A" w:rsidRPr="00F8262A">
        <w:rPr>
          <w:lang w:val="en-US"/>
        </w:rPr>
        <w:t>J</w:t>
      </w:r>
      <w:r w:rsidR="00F8262A">
        <w:rPr>
          <w:lang w:val="en-US"/>
        </w:rPr>
        <w:t>.</w:t>
      </w:r>
      <w:r w:rsidR="00F8262A" w:rsidRPr="00F8262A">
        <w:rPr>
          <w:lang w:val="en-US"/>
        </w:rPr>
        <w:t xml:space="preserve"> Chem</w:t>
      </w:r>
      <w:r w:rsidR="00F8262A">
        <w:rPr>
          <w:lang w:val="en-US"/>
        </w:rPr>
        <w:t>.</w:t>
      </w:r>
      <w:r w:rsidR="00F8262A" w:rsidRPr="00F8262A">
        <w:rPr>
          <w:lang w:val="en-US"/>
        </w:rPr>
        <w:t xml:space="preserve"> Education 2024</w:t>
      </w:r>
      <w:r w:rsidR="00F8262A">
        <w:rPr>
          <w:lang w:val="en-US"/>
        </w:rPr>
        <w:t>,</w:t>
      </w:r>
      <w:r w:rsidR="00F8262A" w:rsidRPr="00F8262A">
        <w:rPr>
          <w:lang w:val="en-US"/>
        </w:rPr>
        <w:t xml:space="preserve"> 101 (4), 1696-1702</w:t>
      </w:r>
      <w:r w:rsidR="00F8262A">
        <w:rPr>
          <w:lang w:val="en-US"/>
        </w:rPr>
        <w:t xml:space="preserve">, </w:t>
      </w:r>
      <w:hyperlink r:id="rId7" w:history="1">
        <w:r w:rsidR="00F8262A" w:rsidRPr="00473709">
          <w:rPr>
            <w:rStyle w:val="Collegamentoipertestuale"/>
            <w:lang w:val="en-US"/>
          </w:rPr>
          <w:t>https://pubs.acs.org/doi/10.1021/acs.jchemed.4c00102</w:t>
        </w:r>
      </w:hyperlink>
    </w:p>
    <w:p w:rsidR="005045E4" w:rsidRDefault="00F56372" w:rsidP="00F56372">
      <w:r>
        <w:rPr>
          <w:lang w:val="en-US"/>
        </w:rPr>
        <w:t xml:space="preserve">[3] </w:t>
      </w:r>
      <w:r w:rsidRPr="00F56372">
        <w:rPr>
          <w:lang w:val="en-US"/>
        </w:rPr>
        <w:t>K</w:t>
      </w:r>
      <w:r>
        <w:rPr>
          <w:lang w:val="en-US"/>
        </w:rPr>
        <w:t>.</w:t>
      </w:r>
      <w:r w:rsidRPr="00F56372">
        <w:rPr>
          <w:lang w:val="en-US"/>
        </w:rPr>
        <w:t xml:space="preserve"> </w:t>
      </w:r>
      <w:proofErr w:type="spellStart"/>
      <w:r w:rsidRPr="00F56372">
        <w:rPr>
          <w:lang w:val="en-US"/>
        </w:rPr>
        <w:t>Takamura</w:t>
      </w:r>
      <w:proofErr w:type="spellEnd"/>
      <w:r>
        <w:rPr>
          <w:lang w:val="en-US"/>
        </w:rPr>
        <w:t xml:space="preserve"> et al. </w:t>
      </w:r>
      <w:r w:rsidR="00C61401">
        <w:rPr>
          <w:lang w:val="en-US"/>
        </w:rPr>
        <w:t xml:space="preserve"> </w:t>
      </w:r>
      <w:r w:rsidRPr="00F56372">
        <w:rPr>
          <w:lang w:val="en-US"/>
        </w:rPr>
        <w:t>Physical properties of aqueous glycerol solutions,</w:t>
      </w:r>
      <w:r w:rsidR="00C61401">
        <w:rPr>
          <w:lang w:val="en-US"/>
        </w:rPr>
        <w:t xml:space="preserve"> </w:t>
      </w:r>
      <w:r w:rsidRPr="00F56372">
        <w:rPr>
          <w:lang w:val="en-US"/>
        </w:rPr>
        <w:t>J</w:t>
      </w:r>
      <w:r w:rsidR="00C61401">
        <w:rPr>
          <w:lang w:val="en-US"/>
        </w:rPr>
        <w:t xml:space="preserve">. </w:t>
      </w:r>
      <w:r w:rsidRPr="00F56372">
        <w:rPr>
          <w:lang w:val="en-US"/>
        </w:rPr>
        <w:t>Petrol</w:t>
      </w:r>
      <w:r w:rsidR="00C61401">
        <w:rPr>
          <w:lang w:val="en-US"/>
        </w:rPr>
        <w:t>.</w:t>
      </w:r>
      <w:r w:rsidRPr="00F56372">
        <w:rPr>
          <w:lang w:val="en-US"/>
        </w:rPr>
        <w:t xml:space="preserve"> </w:t>
      </w:r>
      <w:r w:rsidRPr="00C61401">
        <w:t>Sc</w:t>
      </w:r>
      <w:r w:rsidR="00C61401" w:rsidRPr="00C61401">
        <w:t>i.</w:t>
      </w:r>
      <w:r w:rsidRPr="00C61401">
        <w:t xml:space="preserve"> </w:t>
      </w:r>
      <w:proofErr w:type="spellStart"/>
      <w:r w:rsidRPr="00C61401">
        <w:t>Eng</w:t>
      </w:r>
      <w:proofErr w:type="spellEnd"/>
      <w:r w:rsidR="00C61401" w:rsidRPr="00C61401">
        <w:t xml:space="preserve">. 2022, 98-99, 50-60 </w:t>
      </w:r>
      <w:hyperlink r:id="rId8" w:history="1">
        <w:r w:rsidR="00C61401" w:rsidRPr="00473709">
          <w:rPr>
            <w:rStyle w:val="Collegamentoipertestuale"/>
          </w:rPr>
          <w:t>https://doi.org/10.1016/j.petrol.2012.09.003</w:t>
        </w:r>
      </w:hyperlink>
    </w:p>
    <w:p w:rsidR="00C61401" w:rsidRPr="00C61401" w:rsidRDefault="00C61401" w:rsidP="00F56372">
      <w:pPr>
        <w:rPr>
          <w:lang w:val="en-US"/>
        </w:rPr>
      </w:pPr>
    </w:p>
    <w:sectPr w:rsidR="00C61401" w:rsidRPr="00C6140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72F" w:rsidRDefault="00B3272F" w:rsidP="00B93FF8">
      <w:pPr>
        <w:spacing w:after="0" w:line="240" w:lineRule="auto"/>
      </w:pPr>
      <w:r>
        <w:separator/>
      </w:r>
    </w:p>
  </w:endnote>
  <w:endnote w:type="continuationSeparator" w:id="0">
    <w:p w:rsidR="00B3272F" w:rsidRDefault="00B3272F" w:rsidP="00B9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72F" w:rsidRDefault="00B3272F" w:rsidP="00B93FF8">
      <w:pPr>
        <w:spacing w:after="0" w:line="240" w:lineRule="auto"/>
      </w:pPr>
      <w:r>
        <w:separator/>
      </w:r>
    </w:p>
  </w:footnote>
  <w:footnote w:type="continuationSeparator" w:id="0">
    <w:p w:rsidR="00B3272F" w:rsidRDefault="00B3272F" w:rsidP="00B9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FF8" w:rsidRDefault="00B93FF8">
    <w:pPr>
      <w:pStyle w:val="Intestazione"/>
    </w:pPr>
    <w:r>
      <w:t>Lab CF1</w:t>
    </w:r>
    <w:r>
      <w:ptab w:relativeTo="margin" w:alignment="center" w:leader="none"/>
    </w:r>
    <w:r>
      <w:t>Esercitazione 2</w:t>
    </w:r>
    <w:r>
      <w:ptab w:relativeTo="margin" w:alignment="right" w:leader="none"/>
    </w:r>
    <w:proofErr w:type="spellStart"/>
    <w:r>
      <w:t>a.a</w:t>
    </w:r>
    <w:proofErr w:type="spellEnd"/>
    <w:r>
      <w:t>. 2025-26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89"/>
    <w:rsid w:val="00037541"/>
    <w:rsid w:val="000B2F42"/>
    <w:rsid w:val="000C1F46"/>
    <w:rsid w:val="001D7789"/>
    <w:rsid w:val="0020724E"/>
    <w:rsid w:val="00220095"/>
    <w:rsid w:val="00237F9E"/>
    <w:rsid w:val="00276017"/>
    <w:rsid w:val="002B665B"/>
    <w:rsid w:val="002C1BD6"/>
    <w:rsid w:val="002D3676"/>
    <w:rsid w:val="002E732F"/>
    <w:rsid w:val="002F2F8B"/>
    <w:rsid w:val="00307A2D"/>
    <w:rsid w:val="00320BBF"/>
    <w:rsid w:val="003D7436"/>
    <w:rsid w:val="004316F7"/>
    <w:rsid w:val="004A2CC2"/>
    <w:rsid w:val="004D4C31"/>
    <w:rsid w:val="004D7A7A"/>
    <w:rsid w:val="005045E4"/>
    <w:rsid w:val="00504714"/>
    <w:rsid w:val="00506AB2"/>
    <w:rsid w:val="00510992"/>
    <w:rsid w:val="005B566E"/>
    <w:rsid w:val="006152EA"/>
    <w:rsid w:val="006363F3"/>
    <w:rsid w:val="00636BC0"/>
    <w:rsid w:val="00670130"/>
    <w:rsid w:val="00682132"/>
    <w:rsid w:val="006921E3"/>
    <w:rsid w:val="007136E5"/>
    <w:rsid w:val="00747F1A"/>
    <w:rsid w:val="00794D22"/>
    <w:rsid w:val="008A594F"/>
    <w:rsid w:val="008C00EC"/>
    <w:rsid w:val="008C37D5"/>
    <w:rsid w:val="00930DDC"/>
    <w:rsid w:val="00991845"/>
    <w:rsid w:val="009F5EC6"/>
    <w:rsid w:val="00A10AF1"/>
    <w:rsid w:val="00A244BF"/>
    <w:rsid w:val="00A50B21"/>
    <w:rsid w:val="00A95EE0"/>
    <w:rsid w:val="00B21381"/>
    <w:rsid w:val="00B3272F"/>
    <w:rsid w:val="00B416CF"/>
    <w:rsid w:val="00B65EA1"/>
    <w:rsid w:val="00B75DEA"/>
    <w:rsid w:val="00B93FF8"/>
    <w:rsid w:val="00BA4C79"/>
    <w:rsid w:val="00C61401"/>
    <w:rsid w:val="00CB24D1"/>
    <w:rsid w:val="00CC175E"/>
    <w:rsid w:val="00D00ECF"/>
    <w:rsid w:val="00D157A7"/>
    <w:rsid w:val="00D620D2"/>
    <w:rsid w:val="00DE3A3C"/>
    <w:rsid w:val="00E45B80"/>
    <w:rsid w:val="00E4674B"/>
    <w:rsid w:val="00E9081A"/>
    <w:rsid w:val="00EB02CA"/>
    <w:rsid w:val="00F21F11"/>
    <w:rsid w:val="00F56372"/>
    <w:rsid w:val="00F73E04"/>
    <w:rsid w:val="00F8262A"/>
    <w:rsid w:val="00F870CC"/>
    <w:rsid w:val="00FA3274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5DB6"/>
  <w15:chartTrackingRefBased/>
  <w15:docId w15:val="{A1A9DDE1-B51A-40AF-B75D-5D8CC05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37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C3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7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3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FF8"/>
  </w:style>
  <w:style w:type="paragraph" w:styleId="Pidipagina">
    <w:name w:val="footer"/>
    <w:basedOn w:val="Normale"/>
    <w:link w:val="PidipaginaCarattere"/>
    <w:uiPriority w:val="99"/>
    <w:unhideWhenUsed/>
    <w:rsid w:val="00B93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3FF8"/>
  </w:style>
  <w:style w:type="character" w:customStyle="1" w:styleId="Titolo1Carattere">
    <w:name w:val="Titolo 1 Carattere"/>
    <w:basedOn w:val="Carpredefinitoparagrafo"/>
    <w:link w:val="Titolo1"/>
    <w:uiPriority w:val="9"/>
    <w:rsid w:val="008C3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C3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DE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2E73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045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etrol.2012.09.0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s.acs.org/doi/10.1021/acs.jchemed.4c001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ijpharm.2011.08.02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ASARO FIORETTA</dc:creator>
  <cp:keywords/>
  <dc:description/>
  <cp:lastModifiedBy>FIORETTA ASARO</cp:lastModifiedBy>
  <cp:revision>58</cp:revision>
  <cp:lastPrinted>2025-10-20T11:04:00Z</cp:lastPrinted>
  <dcterms:created xsi:type="dcterms:W3CDTF">2025-10-13T07:56:00Z</dcterms:created>
  <dcterms:modified xsi:type="dcterms:W3CDTF">2025-10-20T11:04:00Z</dcterms:modified>
</cp:coreProperties>
</file>