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E377" w14:textId="77777777" w:rsidR="00AC3253" w:rsidRPr="00AC3253" w:rsidRDefault="00AC3253" w:rsidP="00AC3253">
      <w:pPr>
        <w:rPr>
          <w:rFonts w:ascii="Times New Roman" w:eastAsia="Times New Roman" w:hAnsi="Times New Roman" w:cs="Times New Roman"/>
          <w:kern w:val="0"/>
          <w:lang w:eastAsia="it-IT"/>
          <w14:ligatures w14:val="none"/>
        </w:rPr>
      </w:pPr>
      <w:r w:rsidRPr="00AC3253">
        <w:rPr>
          <w:rFonts w:ascii="Times New Roman" w:eastAsia="Times New Roman" w:hAnsi="Times New Roman" w:cs="Times New Roman"/>
          <w:b/>
          <w:bCs/>
          <w:caps/>
          <w:color w:val="1E5192"/>
          <w:kern w:val="0"/>
          <w:lang w:eastAsia="it-IT"/>
          <w14:ligatures w14:val="none"/>
        </w:rPr>
        <w:t>IP, IT E DATA PROTECTION</w:t>
      </w:r>
    </w:p>
    <w:p w14:paraId="33B63A9A" w14:textId="77777777" w:rsidR="00AC3253" w:rsidRPr="00AC3253" w:rsidRDefault="00AC3253" w:rsidP="00AC3253">
      <w:pPr>
        <w:spacing w:before="100" w:beforeAutospacing="1" w:after="100" w:afterAutospacing="1"/>
        <w:outlineLvl w:val="0"/>
        <w:rPr>
          <w:rFonts w:ascii="Roboto Slab" w:eastAsia="Times New Roman" w:hAnsi="Roboto Slab" w:cs="Roboto Slab"/>
          <w:b/>
          <w:bCs/>
          <w:color w:val="0C0C0F"/>
          <w:kern w:val="36"/>
          <w:sz w:val="48"/>
          <w:szCs w:val="48"/>
          <w:lang w:eastAsia="it-IT"/>
          <w14:ligatures w14:val="none"/>
        </w:rPr>
      </w:pPr>
      <w:r w:rsidRPr="00AC3253">
        <w:rPr>
          <w:rFonts w:ascii="Roboto Slab" w:eastAsia="Times New Roman" w:hAnsi="Roboto Slab" w:cs="Roboto Slab"/>
          <w:b/>
          <w:bCs/>
          <w:color w:val="0C0C0F"/>
          <w:kern w:val="36"/>
          <w:sz w:val="48"/>
          <w:szCs w:val="48"/>
          <w:lang w:eastAsia="it-IT"/>
          <w14:ligatures w14:val="none"/>
        </w:rPr>
        <w:t>Intelligenza artificiale, approvata la Convenzione europea</w:t>
      </w:r>
    </w:p>
    <w:p w14:paraId="70F2EEC6" w14:textId="77777777" w:rsidR="00AC3253" w:rsidRPr="00AC3253" w:rsidRDefault="00AC3253" w:rsidP="00AC3253">
      <w:pPr>
        <w:rPr>
          <w:rFonts w:ascii="Times New Roman" w:eastAsia="Times New Roman" w:hAnsi="Times New Roman" w:cs="Times New Roman"/>
          <w:color w:val="0C0C0F"/>
          <w:kern w:val="0"/>
          <w:lang w:eastAsia="it-IT"/>
          <w14:ligatures w14:val="none"/>
        </w:rPr>
      </w:pPr>
      <w:r w:rsidRPr="00AC3253">
        <w:rPr>
          <w:rFonts w:ascii="Times New Roman" w:eastAsia="Times New Roman" w:hAnsi="Times New Roman" w:cs="Times New Roman"/>
          <w:color w:val="0C0C0F"/>
          <w:kern w:val="0"/>
          <w:lang w:eastAsia="it-IT"/>
          <w14:ligatures w14:val="none"/>
        </w:rPr>
        <w:t xml:space="preserve">I Paesi firmatari dovranno garantire diritti umani, rule of </w:t>
      </w:r>
      <w:proofErr w:type="spellStart"/>
      <w:r w:rsidRPr="00AC3253">
        <w:rPr>
          <w:rFonts w:ascii="Times New Roman" w:eastAsia="Times New Roman" w:hAnsi="Times New Roman" w:cs="Times New Roman"/>
          <w:color w:val="0C0C0F"/>
          <w:kern w:val="0"/>
          <w:lang w:eastAsia="it-IT"/>
          <w14:ligatures w14:val="none"/>
        </w:rPr>
        <w:t>law</w:t>
      </w:r>
      <w:proofErr w:type="spellEnd"/>
      <w:r w:rsidRPr="00AC3253">
        <w:rPr>
          <w:rFonts w:ascii="Times New Roman" w:eastAsia="Times New Roman" w:hAnsi="Times New Roman" w:cs="Times New Roman"/>
          <w:color w:val="0C0C0F"/>
          <w:kern w:val="0"/>
          <w:lang w:eastAsia="it-IT"/>
          <w14:ligatures w14:val="none"/>
        </w:rPr>
        <w:t xml:space="preserve"> e democrazia</w:t>
      </w:r>
    </w:p>
    <w:p w14:paraId="61B0CE6C" w14:textId="77777777" w:rsidR="00AC3253" w:rsidRDefault="00AC3253" w:rsidP="00AC3253">
      <w:pPr>
        <w:rPr>
          <w:rFonts w:ascii="Lato" w:eastAsia="Times New Roman" w:hAnsi="Lato" w:cs="Times New Roman"/>
          <w:color w:val="0C0C0F"/>
          <w:kern w:val="0"/>
          <w:lang w:eastAsia="it-IT"/>
          <w14:ligatures w14:val="none"/>
        </w:rPr>
      </w:pPr>
    </w:p>
    <w:p w14:paraId="66FDE195" w14:textId="135291D2" w:rsidR="00AC3253" w:rsidRPr="00AC3253" w:rsidRDefault="00AC3253" w:rsidP="00AC3253">
      <w:pPr>
        <w:rPr>
          <w:rFonts w:ascii="Lato" w:eastAsia="Times New Roman" w:hAnsi="Lato" w:cs="Times New Roman"/>
          <w:b/>
          <w:bCs/>
          <w:color w:val="0C0C0F"/>
          <w:kern w:val="0"/>
          <w:lang w:eastAsia="it-IT"/>
          <w14:ligatures w14:val="none"/>
        </w:rPr>
      </w:pPr>
      <w:r w:rsidRPr="00AC3253">
        <w:rPr>
          <w:rFonts w:ascii="Lato" w:eastAsia="Times New Roman" w:hAnsi="Lato" w:cs="Times New Roman"/>
          <w:b/>
          <w:bCs/>
          <w:color w:val="0C0C0F"/>
          <w:kern w:val="0"/>
          <w:lang w:eastAsia="it-IT"/>
          <w14:ligatures w14:val="none"/>
        </w:rPr>
        <w:t>Di </w:t>
      </w:r>
      <w:r w:rsidRPr="00AC3253">
        <w:rPr>
          <w:rFonts w:ascii="Lato" w:eastAsia="Times New Roman" w:hAnsi="Lato" w:cs="Times New Roman"/>
          <w:b/>
          <w:bCs/>
          <w:color w:val="1E5192"/>
          <w:kern w:val="0"/>
          <w:lang w:eastAsia="it-IT"/>
          <w14:ligatures w14:val="none"/>
        </w:rPr>
        <w:t>Claudia Morelli</w:t>
      </w:r>
    </w:p>
    <w:p w14:paraId="34C4045F" w14:textId="77777777" w:rsidR="00AC3253" w:rsidRPr="00AC3253" w:rsidRDefault="00AC3253" w:rsidP="00AC3253">
      <w:pPr>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Giornalista professionista</w:t>
      </w:r>
    </w:p>
    <w:p w14:paraId="5EE871EC" w14:textId="77777777" w:rsidR="00AC3253" w:rsidRPr="00AC3253" w:rsidRDefault="00AC3253" w:rsidP="00AC3253">
      <w:pPr>
        <w:jc w:val="right"/>
        <w:rPr>
          <w:rFonts w:ascii="Roboto Slab" w:eastAsia="Times New Roman" w:hAnsi="Roboto Slab" w:cs="Roboto Slab"/>
          <w:color w:val="5E5E5E"/>
          <w:kern w:val="0"/>
          <w:lang w:eastAsia="it-IT"/>
          <w14:ligatures w14:val="none"/>
        </w:rPr>
      </w:pPr>
      <w:r w:rsidRPr="00AC3253">
        <w:rPr>
          <w:rFonts w:ascii="Roboto Slab" w:eastAsia="Times New Roman" w:hAnsi="Roboto Slab" w:cs="Roboto Slab"/>
          <w:color w:val="5E5E5E"/>
          <w:kern w:val="0"/>
          <w:lang w:eastAsia="it-IT"/>
          <w14:ligatures w14:val="none"/>
        </w:rPr>
        <w:t>Pubblicato il 20/05/2024</w:t>
      </w:r>
    </w:p>
    <w:p w14:paraId="58F58C45" w14:textId="77777777" w:rsidR="00AC3253" w:rsidRDefault="00AC3253" w:rsidP="00AC3253">
      <w:pPr>
        <w:spacing w:after="100" w:afterAutospacing="1"/>
        <w:rPr>
          <w:rFonts w:ascii="Lato" w:eastAsia="Times New Roman" w:hAnsi="Lato" w:cs="Times New Roman"/>
          <w:color w:val="0C0C0F"/>
          <w:kern w:val="0"/>
          <w:lang w:eastAsia="it-IT"/>
          <w14:ligatures w14:val="none"/>
        </w:rPr>
      </w:pPr>
    </w:p>
    <w:p w14:paraId="5697BA4B" w14:textId="77777777" w:rsidR="00AC3253" w:rsidRDefault="00AC3253" w:rsidP="00AC3253">
      <w:pPr>
        <w:spacing w:line="360" w:lineRule="auto"/>
        <w:jc w:val="both"/>
        <w:rPr>
          <w:rFonts w:ascii="Lato" w:eastAsia="Times New Roman" w:hAnsi="Lato" w:cs="Times New Roman"/>
          <w:i/>
          <w:iCs/>
          <w:color w:val="0C0C0F"/>
          <w:kern w:val="0"/>
          <w:lang w:eastAsia="it-IT"/>
          <w14:ligatures w14:val="none"/>
        </w:rPr>
      </w:pPr>
      <w:r w:rsidRPr="00AC3253">
        <w:rPr>
          <w:rFonts w:ascii="Lato" w:eastAsia="Times New Roman" w:hAnsi="Lato" w:cs="Times New Roman"/>
          <w:i/>
          <w:iCs/>
          <w:color w:val="0C0C0F"/>
          <w:kern w:val="0"/>
          <w:lang w:eastAsia="it-IT"/>
          <w14:ligatures w14:val="none"/>
        </w:rPr>
        <w:t>In arrivo una nuova normativa europea in materia di Intelligenza artificiale, dedicata all’esercizio di poteri pubblici supportato da sistemi di intelligenza artificiale.</w:t>
      </w:r>
    </w:p>
    <w:p w14:paraId="6A43DD88" w14:textId="15D2A664" w:rsidR="00AC3253" w:rsidRDefault="00AC3253" w:rsidP="00AC3253">
      <w:pPr>
        <w:spacing w:line="360" w:lineRule="auto"/>
        <w:jc w:val="both"/>
        <w:rPr>
          <w:rFonts w:ascii="Lato" w:eastAsia="Times New Roman" w:hAnsi="Lato" w:cs="Times New Roman"/>
          <w:i/>
          <w:iCs/>
          <w:color w:val="0C0C0F"/>
          <w:kern w:val="0"/>
          <w:lang w:eastAsia="it-IT"/>
          <w14:ligatures w14:val="none"/>
        </w:rPr>
      </w:pPr>
      <w:r w:rsidRPr="00AC3253">
        <w:rPr>
          <w:rFonts w:ascii="Lato" w:eastAsia="Times New Roman" w:hAnsi="Lato" w:cs="Times New Roman"/>
          <w:i/>
          <w:iCs/>
          <w:color w:val="0C0C0F"/>
          <w:kern w:val="0"/>
          <w:lang w:eastAsia="it-IT"/>
          <w14:ligatures w14:val="none"/>
        </w:rPr>
        <w:t>Si tratta della Convenzione europea, appena approvata in seno al Consiglio d’Europa. </w:t>
      </w:r>
      <w:r w:rsidRPr="00AC3253">
        <w:rPr>
          <w:rFonts w:ascii="Lato" w:eastAsia="Times New Roman" w:hAnsi="Lato" w:cs="Times New Roman"/>
          <w:i/>
          <w:iCs/>
          <w:color w:val="0C0C0F"/>
          <w:kern w:val="0"/>
          <w:lang w:eastAsia="it-IT"/>
          <w14:ligatures w14:val="none"/>
        </w:rPr>
        <w:br/>
        <w:t>Il trattato ha un approccio globale, che tenta di indicare una strada nel solco della esperienza maturata in 75 anni di vita della Convenzione europea dei diritti dell’Uomo.</w:t>
      </w:r>
      <w:r w:rsidRPr="00AC3253">
        <w:rPr>
          <w:rFonts w:ascii="Lato" w:eastAsia="Times New Roman" w:hAnsi="Lato" w:cs="Times New Roman"/>
          <w:i/>
          <w:iCs/>
          <w:color w:val="0C0C0F"/>
          <w:kern w:val="0"/>
          <w:lang w:eastAsia="it-IT"/>
          <w14:ligatures w14:val="none"/>
        </w:rPr>
        <w:br/>
        <w:t xml:space="preserve">Il punto di vista non è né politico né economico, infatti. Ma quello del rispetto di diritti umani, rule of </w:t>
      </w:r>
      <w:proofErr w:type="spellStart"/>
      <w:r w:rsidRPr="00AC3253">
        <w:rPr>
          <w:rFonts w:ascii="Lato" w:eastAsia="Times New Roman" w:hAnsi="Lato" w:cs="Times New Roman"/>
          <w:i/>
          <w:iCs/>
          <w:color w:val="0C0C0F"/>
          <w:kern w:val="0"/>
          <w:lang w:eastAsia="it-IT"/>
          <w14:ligatures w14:val="none"/>
        </w:rPr>
        <w:t>law</w:t>
      </w:r>
      <w:proofErr w:type="spellEnd"/>
      <w:r w:rsidRPr="00AC3253">
        <w:rPr>
          <w:rFonts w:ascii="Lato" w:eastAsia="Times New Roman" w:hAnsi="Lato" w:cs="Times New Roman"/>
          <w:i/>
          <w:iCs/>
          <w:color w:val="0C0C0F"/>
          <w:kern w:val="0"/>
          <w:lang w:eastAsia="it-IT"/>
          <w14:ligatures w14:val="none"/>
        </w:rPr>
        <w:t xml:space="preserve"> e processi democratici. Si tratta in un ulteriore </w:t>
      </w:r>
      <w:proofErr w:type="spellStart"/>
      <w:r w:rsidRPr="00AC3253">
        <w:rPr>
          <w:rFonts w:ascii="Lato" w:eastAsia="Times New Roman" w:hAnsi="Lato" w:cs="Times New Roman"/>
          <w:i/>
          <w:iCs/>
          <w:color w:val="0C0C0F"/>
          <w:kern w:val="0"/>
          <w:lang w:eastAsia="it-IT"/>
          <w14:ligatures w14:val="none"/>
        </w:rPr>
        <w:t>layer</w:t>
      </w:r>
      <w:proofErr w:type="spellEnd"/>
      <w:r w:rsidRPr="00AC3253">
        <w:rPr>
          <w:rFonts w:ascii="Lato" w:eastAsia="Times New Roman" w:hAnsi="Lato" w:cs="Times New Roman"/>
          <w:i/>
          <w:iCs/>
          <w:color w:val="0C0C0F"/>
          <w:kern w:val="0"/>
          <w:lang w:eastAsia="it-IT"/>
          <w14:ligatures w14:val="none"/>
        </w:rPr>
        <w:t xml:space="preserve"> che Governi e Parlamenti dovranno integrare nelle loro strategie di sviluppo e di disciplina di sistemi di intelligenza artificiale, per fare in modo che sia preservata sempre dignità umana e autonomia individuale.</w:t>
      </w:r>
      <w:r w:rsidRPr="00AC3253">
        <w:rPr>
          <w:rFonts w:ascii="Lato" w:eastAsia="Times New Roman" w:hAnsi="Lato" w:cs="Times New Roman"/>
          <w:i/>
          <w:iCs/>
          <w:color w:val="0C0C0F"/>
          <w:kern w:val="0"/>
          <w:lang w:eastAsia="it-IT"/>
          <w14:ligatures w14:val="none"/>
        </w:rPr>
        <w:br/>
        <w:t>Una ulteriore sfida, che si aggiunge ai molteplici approcci nazionali e all’AI act.</w:t>
      </w:r>
      <w:r w:rsidRPr="00AC3253">
        <w:rPr>
          <w:rFonts w:ascii="Lato" w:eastAsia="Times New Roman" w:hAnsi="Lato" w:cs="Times New Roman"/>
          <w:i/>
          <w:iCs/>
          <w:color w:val="0C0C0F"/>
          <w:kern w:val="0"/>
          <w:lang w:eastAsia="it-IT"/>
          <w14:ligatures w14:val="none"/>
        </w:rPr>
        <w:br/>
        <w:t xml:space="preserve">Non è un caso che nelle procedure di negoziato del testo hanno partecipato, oltre ai 48 paesi che fanno parte del </w:t>
      </w:r>
      <w:proofErr w:type="spellStart"/>
      <w:r w:rsidRPr="00AC3253">
        <w:rPr>
          <w:rFonts w:ascii="Lato" w:eastAsia="Times New Roman" w:hAnsi="Lato" w:cs="Times New Roman"/>
          <w:i/>
          <w:iCs/>
          <w:color w:val="0C0C0F"/>
          <w:kern w:val="0"/>
          <w:lang w:eastAsia="it-IT"/>
          <w14:ligatures w14:val="none"/>
        </w:rPr>
        <w:t>Coe</w:t>
      </w:r>
      <w:proofErr w:type="spellEnd"/>
      <w:r w:rsidRPr="00AC3253">
        <w:rPr>
          <w:rFonts w:ascii="Lato" w:eastAsia="Times New Roman" w:hAnsi="Lato" w:cs="Times New Roman"/>
          <w:i/>
          <w:iCs/>
          <w:color w:val="0C0C0F"/>
          <w:kern w:val="0"/>
          <w:lang w:eastAsia="it-IT"/>
          <w14:ligatures w14:val="none"/>
        </w:rPr>
        <w:t>, una lista di altri 11 (da Israele, alla Santa Sede, dagli Usa, al Messico e al Giappone) e 68 realtà internazionali e ong.</w:t>
      </w:r>
    </w:p>
    <w:p w14:paraId="23C55659" w14:textId="4D460752" w:rsidR="00AC3253" w:rsidRDefault="00AC3253" w:rsidP="00AC3253">
      <w:pPr>
        <w:spacing w:line="360" w:lineRule="auto"/>
        <w:jc w:val="both"/>
        <w:rPr>
          <w:rFonts w:ascii="Lato" w:eastAsia="Times New Roman" w:hAnsi="Lato" w:cs="Times New Roman"/>
          <w:i/>
          <w:iCs/>
          <w:color w:val="0C0C0F"/>
          <w:kern w:val="0"/>
          <w:lang w:eastAsia="it-IT"/>
          <w14:ligatures w14:val="none"/>
        </w:rPr>
      </w:pPr>
      <w:r w:rsidRPr="00AC3253">
        <w:rPr>
          <w:rFonts w:ascii="Lato" w:eastAsia="Times New Roman" w:hAnsi="Lato" w:cs="Times New Roman"/>
          <w:i/>
          <w:iCs/>
          <w:color w:val="0C0C0F"/>
          <w:kern w:val="0"/>
          <w:lang w:eastAsia="it-IT"/>
          <w14:ligatures w14:val="none"/>
        </w:rPr>
        <w:t>Se il testo apparirà a volte ambiguo, a volte insufficiente (nulla è previsto per le big tech e, più in generale, per il settore privato), pensiamo che al momento questa Convenzione è l’unico trattato in tema di AI che ha la duplice ambizione di essere “globale” e di suggerire una strada comune per preservare la dignità umana.</w:t>
      </w:r>
    </w:p>
    <w:p w14:paraId="15641FC0" w14:textId="1293A916"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i/>
          <w:iCs/>
          <w:color w:val="0C0C0F"/>
          <w:kern w:val="0"/>
          <w:lang w:eastAsia="it-IT"/>
          <w14:ligatures w14:val="none"/>
        </w:rPr>
        <w:t>Buona lettura. </w:t>
      </w:r>
      <w:r w:rsidRPr="00AC3253">
        <w:rPr>
          <w:rFonts w:ascii="Apple Color Emoji" w:eastAsia="Times New Roman" w:hAnsi="Apple Color Emoji" w:cs="Apple Color Emoji"/>
          <w:i/>
          <w:iCs/>
          <w:color w:val="0C0C0F"/>
          <w:kern w:val="0"/>
          <w:lang w:eastAsia="it-IT"/>
          <w14:ligatures w14:val="none"/>
        </w:rPr>
        <w:t>😊</w:t>
      </w:r>
    </w:p>
    <w:p w14:paraId="0676DC2F" w14:textId="77777777" w:rsidR="0093573D" w:rsidRDefault="0093573D" w:rsidP="00AC3253">
      <w:pPr>
        <w:spacing w:line="360" w:lineRule="auto"/>
        <w:jc w:val="both"/>
        <w:rPr>
          <w:rFonts w:ascii="Lato" w:eastAsia="Times New Roman" w:hAnsi="Lato" w:cs="Times New Roman"/>
          <w:color w:val="0C0C0F"/>
          <w:kern w:val="0"/>
          <w:lang w:eastAsia="it-IT"/>
          <w14:ligatures w14:val="none"/>
        </w:rPr>
      </w:pPr>
    </w:p>
    <w:p w14:paraId="3D22D2EE" w14:textId="7393C198"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Un sistema di </w:t>
      </w:r>
      <w:hyperlink r:id="rId5" w:history="1">
        <w:r w:rsidRPr="00AC3253">
          <w:rPr>
            <w:rFonts w:ascii="Lato" w:eastAsia="Times New Roman" w:hAnsi="Lato" w:cs="Times New Roman"/>
            <w:b/>
            <w:bCs/>
            <w:color w:val="1E5192"/>
            <w:kern w:val="0"/>
            <w:u w:val="single"/>
            <w:lang w:eastAsia="it-IT"/>
            <w14:ligatures w14:val="none"/>
          </w:rPr>
          <w:t>whistleblowing</w:t>
        </w:r>
      </w:hyperlink>
      <w:r w:rsidRPr="00AC3253">
        <w:rPr>
          <w:rFonts w:ascii="Lato" w:eastAsia="Times New Roman" w:hAnsi="Lato" w:cs="Times New Roman"/>
          <w:color w:val="0C0C0F"/>
          <w:kern w:val="0"/>
          <w:lang w:eastAsia="it-IT"/>
          <w14:ligatures w14:val="none"/>
        </w:rPr>
        <w:t xml:space="preserve"> per “svelare” i progetti di intelligenza artificiale, sia di natura privata che pubblica, che non corrispondono ai principi di tutela e garanzia di democrazia, rule of </w:t>
      </w:r>
      <w:proofErr w:type="spellStart"/>
      <w:r w:rsidRPr="00AC3253">
        <w:rPr>
          <w:rFonts w:ascii="Lato" w:eastAsia="Times New Roman" w:hAnsi="Lato" w:cs="Times New Roman"/>
          <w:color w:val="0C0C0F"/>
          <w:kern w:val="0"/>
          <w:lang w:eastAsia="it-IT"/>
          <w14:ligatures w14:val="none"/>
        </w:rPr>
        <w:t>law</w:t>
      </w:r>
      <w:proofErr w:type="spellEnd"/>
      <w:r w:rsidRPr="00AC3253">
        <w:rPr>
          <w:rFonts w:ascii="Lato" w:eastAsia="Times New Roman" w:hAnsi="Lato" w:cs="Times New Roman"/>
          <w:color w:val="0C0C0F"/>
          <w:kern w:val="0"/>
          <w:lang w:eastAsia="it-IT"/>
          <w14:ligatures w14:val="none"/>
        </w:rPr>
        <w:t xml:space="preserve"> o diritti umani. Sandbox regolatorie e tutela del principio della separazione di </w:t>
      </w:r>
      <w:r w:rsidRPr="00AC3253">
        <w:rPr>
          <w:rFonts w:ascii="Lato" w:eastAsia="Times New Roman" w:hAnsi="Lato" w:cs="Times New Roman"/>
          <w:color w:val="0C0C0F"/>
          <w:kern w:val="0"/>
          <w:lang w:eastAsia="it-IT"/>
          <w14:ligatures w14:val="none"/>
        </w:rPr>
        <w:lastRenderedPageBreak/>
        <w:t>poteri tramite rinnovati meccanismi di pesi e contrappesi, per fare in modo che lo sviluppo dei sistemi di AI sia veramente sicuro, produttivo e fair.</w:t>
      </w:r>
    </w:p>
    <w:p w14:paraId="7C02C78E"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Il Comitato dei ministri del Consiglio d’Europa ha approvato venerdì scorso il testo della Convenzione sulla intelligenza artificiale; un trattato, primo nel suo genere, che dovrebbe assicurare che la diffusione dell’intelligenza artificiale rispetti le norme giuridiche del Consiglio d’Europa in materia di diritti umani, democrazia e Stato di diritto.</w:t>
      </w:r>
    </w:p>
    <w:p w14:paraId="11AE7D49"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L'ambito di applicazione della convenzione riguarda le attività tipiche nell'ambito del ciclo di vita dei sistemi di intelligenza artificiale, attività </w:t>
      </w:r>
      <w:proofErr w:type="gramStart"/>
      <w:r w:rsidRPr="00AC3253">
        <w:rPr>
          <w:rFonts w:ascii="Lato" w:eastAsia="Times New Roman" w:hAnsi="Lato" w:cs="Times New Roman"/>
          <w:color w:val="0C0C0F"/>
          <w:kern w:val="0"/>
          <w:lang w:eastAsia="it-IT"/>
          <w14:ligatures w14:val="none"/>
        </w:rPr>
        <w:t>poste in essere</w:t>
      </w:r>
      <w:proofErr w:type="gramEnd"/>
      <w:r w:rsidRPr="00AC3253">
        <w:rPr>
          <w:rFonts w:ascii="Lato" w:eastAsia="Times New Roman" w:hAnsi="Lato" w:cs="Times New Roman"/>
          <w:color w:val="0C0C0F"/>
          <w:kern w:val="0"/>
          <w:lang w:eastAsia="it-IT"/>
          <w14:ligatures w14:val="none"/>
        </w:rPr>
        <w:t xml:space="preserve"> da autorità pubbliche </w:t>
      </w:r>
      <w:proofErr w:type="gramStart"/>
      <w:r w:rsidRPr="00AC3253">
        <w:rPr>
          <w:rFonts w:ascii="Lato" w:eastAsia="Times New Roman" w:hAnsi="Lato" w:cs="Times New Roman"/>
          <w:color w:val="0C0C0F"/>
          <w:kern w:val="0"/>
          <w:lang w:eastAsia="it-IT"/>
          <w14:ligatures w14:val="none"/>
        </w:rPr>
        <w:t>( o</w:t>
      </w:r>
      <w:proofErr w:type="gramEnd"/>
      <w:r w:rsidRPr="00AC3253">
        <w:rPr>
          <w:rFonts w:ascii="Lato" w:eastAsia="Times New Roman" w:hAnsi="Lato" w:cs="Times New Roman"/>
          <w:color w:val="0C0C0F"/>
          <w:kern w:val="0"/>
          <w:lang w:eastAsia="it-IT"/>
          <w14:ligatures w14:val="none"/>
        </w:rPr>
        <w:t xml:space="preserve"> da attori privati che agiscono per loro conto) che possono interferire con i diritti umani, la democrazia e lo Stato di diritto.</w:t>
      </w:r>
    </w:p>
    <w:p w14:paraId="6E09262B"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L’approvazione da parte del Comitato avviene a distanza di due mesi dalla approvazione del testo da parte della Commissione Intelligenza artificiale (CAI) istituita in seno al Consiglio d’Europa e a un mese dall’approvazione da parte del Parlamento </w:t>
      </w:r>
      <w:proofErr w:type="spellStart"/>
      <w:r w:rsidRPr="00AC3253">
        <w:rPr>
          <w:rFonts w:ascii="Lato" w:eastAsia="Times New Roman" w:hAnsi="Lato" w:cs="Times New Roman"/>
          <w:color w:val="0C0C0F"/>
          <w:kern w:val="0"/>
          <w:lang w:eastAsia="it-IT"/>
          <w14:ligatures w14:val="none"/>
        </w:rPr>
        <w:t>Coe</w:t>
      </w:r>
      <w:proofErr w:type="spellEnd"/>
      <w:r w:rsidRPr="00AC3253">
        <w:rPr>
          <w:rFonts w:ascii="Lato" w:eastAsia="Times New Roman" w:hAnsi="Lato" w:cs="Times New Roman"/>
          <w:color w:val="0C0C0F"/>
          <w:kern w:val="0"/>
          <w:lang w:eastAsia="it-IT"/>
          <w14:ligatures w14:val="none"/>
        </w:rPr>
        <w:t xml:space="preserve"> (qui l’Opinion: </w:t>
      </w:r>
      <w:hyperlink r:id="rId6" w:tgtFrame="_blank" w:history="1">
        <w:r w:rsidRPr="00AC3253">
          <w:rPr>
            <w:rFonts w:ascii="Lato" w:eastAsia="Times New Roman" w:hAnsi="Lato" w:cs="Times New Roman"/>
            <w:b/>
            <w:bCs/>
            <w:color w:val="1E5192"/>
            <w:kern w:val="0"/>
            <w:u w:val="single"/>
            <w:lang w:eastAsia="it-IT"/>
            <w14:ligatures w14:val="none"/>
          </w:rPr>
          <w:t xml:space="preserve">Draft Framework Convention on </w:t>
        </w:r>
        <w:proofErr w:type="spellStart"/>
        <w:r w:rsidRPr="00AC3253">
          <w:rPr>
            <w:rFonts w:ascii="Lato" w:eastAsia="Times New Roman" w:hAnsi="Lato" w:cs="Times New Roman"/>
            <w:b/>
            <w:bCs/>
            <w:color w:val="1E5192"/>
            <w:kern w:val="0"/>
            <w:u w:val="single"/>
            <w:lang w:eastAsia="it-IT"/>
            <w14:ligatures w14:val="none"/>
          </w:rPr>
          <w:t>Artificial</w:t>
        </w:r>
        <w:proofErr w:type="spellEnd"/>
        <w:r w:rsidRPr="00AC3253">
          <w:rPr>
            <w:rFonts w:ascii="Lato" w:eastAsia="Times New Roman" w:hAnsi="Lato" w:cs="Times New Roman"/>
            <w:b/>
            <w:bCs/>
            <w:color w:val="1E5192"/>
            <w:kern w:val="0"/>
            <w:u w:val="single"/>
            <w:lang w:eastAsia="it-IT"/>
            <w14:ligatures w14:val="none"/>
          </w:rPr>
          <w:t xml:space="preserve"> Intelligence, Human </w:t>
        </w:r>
        <w:proofErr w:type="spellStart"/>
        <w:r w:rsidRPr="00AC3253">
          <w:rPr>
            <w:rFonts w:ascii="Lato" w:eastAsia="Times New Roman" w:hAnsi="Lato" w:cs="Times New Roman"/>
            <w:b/>
            <w:bCs/>
            <w:color w:val="1E5192"/>
            <w:kern w:val="0"/>
            <w:u w:val="single"/>
            <w:lang w:eastAsia="it-IT"/>
            <w14:ligatures w14:val="none"/>
          </w:rPr>
          <w:t>Rights</w:t>
        </w:r>
        <w:proofErr w:type="spellEnd"/>
        <w:r w:rsidRPr="00AC3253">
          <w:rPr>
            <w:rFonts w:ascii="Lato" w:eastAsia="Times New Roman" w:hAnsi="Lato" w:cs="Times New Roman"/>
            <w:b/>
            <w:bCs/>
            <w:color w:val="1E5192"/>
            <w:kern w:val="0"/>
            <w:u w:val="single"/>
            <w:lang w:eastAsia="it-IT"/>
            <w14:ligatures w14:val="none"/>
          </w:rPr>
          <w:t xml:space="preserve">, Democracy and the Rule of </w:t>
        </w:r>
        <w:proofErr w:type="spellStart"/>
        <w:r w:rsidRPr="00AC3253">
          <w:rPr>
            <w:rFonts w:ascii="Lato" w:eastAsia="Times New Roman" w:hAnsi="Lato" w:cs="Times New Roman"/>
            <w:b/>
            <w:bCs/>
            <w:color w:val="1E5192"/>
            <w:kern w:val="0"/>
            <w:u w:val="single"/>
            <w:lang w:eastAsia="it-IT"/>
            <w14:ligatures w14:val="none"/>
          </w:rPr>
          <w:t>Law</w:t>
        </w:r>
        <w:proofErr w:type="spellEnd"/>
      </w:hyperlink>
      <w:r w:rsidRPr="00AC3253">
        <w:rPr>
          <w:rFonts w:ascii="Lato" w:eastAsia="Times New Roman" w:hAnsi="Lato" w:cs="Times New Roman"/>
          <w:color w:val="0C0C0F"/>
          <w:kern w:val="0"/>
          <w:lang w:eastAsia="it-IT"/>
          <w14:ligatures w14:val="none"/>
        </w:rPr>
        <w:t>), nella sessione del 17 maggio scorso.</w:t>
      </w:r>
    </w:p>
    <w:p w14:paraId="700A38DA" w14:textId="77777777" w:rsid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Dopo l’approvazione da parte del Comitato dei ministri, il trattato sarà aperto alla firma dei governi nazionali.</w:t>
      </w:r>
    </w:p>
    <w:p w14:paraId="1EAA392E"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p>
    <w:p w14:paraId="6CADF7C5" w14:textId="77777777" w:rsidR="00AC3253" w:rsidRPr="00AC3253" w:rsidRDefault="00AC3253" w:rsidP="00AC3253">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0" w:name="p1"/>
      <w:bookmarkEnd w:id="0"/>
      <w:r w:rsidRPr="00AC3253">
        <w:rPr>
          <w:rFonts w:ascii="Lato" w:eastAsia="Times New Roman" w:hAnsi="Lato" w:cs="Times New Roman"/>
          <w:b/>
          <w:bCs/>
          <w:color w:val="0C0C0F"/>
          <w:kern w:val="0"/>
          <w:sz w:val="36"/>
          <w:szCs w:val="36"/>
          <w:lang w:eastAsia="it-IT"/>
          <w14:ligatures w14:val="none"/>
        </w:rPr>
        <w:t>Diritti umani, democrazia e intelligenza artificiale</w:t>
      </w:r>
    </w:p>
    <w:p w14:paraId="69073514"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La Convenzione ha un punto di vista specifico: assicurare, tramite l’attività di </w:t>
      </w:r>
      <w:proofErr w:type="spellStart"/>
      <w:r w:rsidRPr="00AC3253">
        <w:rPr>
          <w:rFonts w:ascii="Lato" w:eastAsia="Times New Roman" w:hAnsi="Lato" w:cs="Times New Roman"/>
          <w:color w:val="0C0C0F"/>
          <w:kern w:val="0"/>
          <w:lang w:eastAsia="it-IT"/>
          <w14:ligatures w14:val="none"/>
        </w:rPr>
        <w:t>assessment</w:t>
      </w:r>
      <w:proofErr w:type="spellEnd"/>
      <w:r w:rsidRPr="00AC3253">
        <w:rPr>
          <w:rFonts w:ascii="Lato" w:eastAsia="Times New Roman" w:hAnsi="Lato" w:cs="Times New Roman"/>
          <w:color w:val="0C0C0F"/>
          <w:kern w:val="0"/>
          <w:lang w:eastAsia="it-IT"/>
          <w14:ligatures w14:val="none"/>
        </w:rPr>
        <w:t xml:space="preserve"> nei Paesi firmatari e una serie di obblighi e di condizioni minime, che il framework di tutela dei principi propri della Convenzione europea dei diritti dell’Uomo regga all’impatto della introduzione di sistemi di AI, soprattutto quello che rappresentino rischi in concreto di violazione di quei principi.</w:t>
      </w:r>
    </w:p>
    <w:p w14:paraId="548C2B7D"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La Convenzione non regola, infatti, aspetti di mercato o economici, ma punta a indicare un framework per la tutela dei tre principi convenzionali: diritti umani, rule of </w:t>
      </w:r>
      <w:proofErr w:type="spellStart"/>
      <w:r w:rsidRPr="00AC3253">
        <w:rPr>
          <w:rFonts w:ascii="Lato" w:eastAsia="Times New Roman" w:hAnsi="Lato" w:cs="Times New Roman"/>
          <w:color w:val="0C0C0F"/>
          <w:kern w:val="0"/>
          <w:lang w:eastAsia="it-IT"/>
          <w14:ligatures w14:val="none"/>
        </w:rPr>
        <w:t>law</w:t>
      </w:r>
      <w:proofErr w:type="spellEnd"/>
      <w:r w:rsidRPr="00AC3253">
        <w:rPr>
          <w:rFonts w:ascii="Lato" w:eastAsia="Times New Roman" w:hAnsi="Lato" w:cs="Times New Roman"/>
          <w:color w:val="0C0C0F"/>
          <w:kern w:val="0"/>
          <w:lang w:eastAsia="it-IT"/>
          <w14:ligatures w14:val="none"/>
        </w:rPr>
        <w:t xml:space="preserve"> e democrazia. Tre principi preposti alla tutela di dignità umana e autonomia decisionale.</w:t>
      </w:r>
    </w:p>
    <w:p w14:paraId="206D317B"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La Convenzione impegna gli Stati sottoscrittori a rafforzare le misure già esistenti o a individuarne di nuove per assicurare il rispetto dei tre principi lungo tutto il ciclo di vita di un sistema di AI, sia esso sviluppato in ambito privato che pubblico, focalizzando l’attenzione sul livello di rischio di violazione in </w:t>
      </w:r>
      <w:proofErr w:type="gramStart"/>
      <w:r w:rsidRPr="00AC3253">
        <w:rPr>
          <w:rFonts w:ascii="Lato" w:eastAsia="Times New Roman" w:hAnsi="Lato" w:cs="Times New Roman"/>
          <w:color w:val="0C0C0F"/>
          <w:kern w:val="0"/>
          <w:lang w:eastAsia="it-IT"/>
          <w14:ligatures w14:val="none"/>
        </w:rPr>
        <w:t>concreto,  tenendo</w:t>
      </w:r>
      <w:proofErr w:type="gramEnd"/>
      <w:r w:rsidRPr="00AC3253">
        <w:rPr>
          <w:rFonts w:ascii="Lato" w:eastAsia="Times New Roman" w:hAnsi="Lato" w:cs="Times New Roman"/>
          <w:color w:val="0C0C0F"/>
          <w:kern w:val="0"/>
          <w:lang w:eastAsia="it-IT"/>
          <w14:ligatures w14:val="none"/>
        </w:rPr>
        <w:t xml:space="preserve"> conto del contesto e delle circostanze.</w:t>
      </w:r>
    </w:p>
    <w:p w14:paraId="180FF1B6"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lastRenderedPageBreak/>
        <w:t xml:space="preserve">Al centro delle regole convenzionali vi è soprattutto l’utilizzo di sistemi di AI che si propongono di assistere e/o di sostituire l’attività umana nel </w:t>
      </w:r>
      <w:proofErr w:type="spellStart"/>
      <w:r w:rsidRPr="00AC3253">
        <w:rPr>
          <w:rFonts w:ascii="Lato" w:eastAsia="Times New Roman" w:hAnsi="Lato" w:cs="Times New Roman"/>
          <w:color w:val="0C0C0F"/>
          <w:kern w:val="0"/>
          <w:lang w:eastAsia="it-IT"/>
          <w14:ligatures w14:val="none"/>
        </w:rPr>
        <w:t>decision</w:t>
      </w:r>
      <w:proofErr w:type="spellEnd"/>
      <w:r w:rsidRPr="00AC3253">
        <w:rPr>
          <w:rFonts w:ascii="Lato" w:eastAsia="Times New Roman" w:hAnsi="Lato" w:cs="Times New Roman"/>
          <w:color w:val="0C0C0F"/>
          <w:kern w:val="0"/>
          <w:lang w:eastAsia="it-IT"/>
          <w14:ligatures w14:val="none"/>
        </w:rPr>
        <w:t xml:space="preserve"> making.</w:t>
      </w:r>
    </w:p>
    <w:p w14:paraId="36B8852C"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È di questo che si occupa quindi la Convenzione, offrendo un quadro giuridico uniforme a livello globale.</w:t>
      </w:r>
    </w:p>
    <w:p w14:paraId="618CA8B7"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Il carattere generale delle norme, spiega il draft esplicativo del testo del Trattato, si giustifica con la necessità di offrire un approccio globale al netto delle ampie differenze di approccio tra i vari Paesi: sarà loro responsabilità rafforzare o individuare nuove misure per implementare i principi enucleati dal trattato, dalle norme legislative a codici di condotta, tenendo conto dei propri ordinamenti interni. </w:t>
      </w:r>
      <w:r w:rsidRPr="00AC3253">
        <w:rPr>
          <w:rFonts w:ascii="Lato" w:eastAsia="Times New Roman" w:hAnsi="Lato" w:cs="Times New Roman"/>
          <w:color w:val="0C0C0F"/>
          <w:kern w:val="0"/>
          <w:lang w:eastAsia="it-IT"/>
          <w14:ligatures w14:val="none"/>
        </w:rPr>
        <w:br/>
        <w:t>La lista delle attività rilevanti che possono cadere sotto il cappello del Trattato è solo esemplificativa. Si va dalla pianificazione e design del progetto, al fine tuning, alla realizzazione o anche all’adattamento del modello per altri scopi, fino al ritiro. Si tratta di attività iterative, quindi gli obblighi da rispettare non sono “una volta per tutte” ma lungo tutto l’arco della vita del sistema di AI.</w:t>
      </w:r>
    </w:p>
    <w:p w14:paraId="2BBA002E"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Gli obblighi dovranno essere calati nei singoli ordinamenti e le misure da adottare dovranno essere proporzionate al livello di rischio che il Trattato non definisce (come fa l’AI ACT). Piuttosto assegna agli Stati firmatari il compito di fare un </w:t>
      </w:r>
      <w:proofErr w:type="spellStart"/>
      <w:r w:rsidRPr="00AC3253">
        <w:rPr>
          <w:rFonts w:ascii="Lato" w:eastAsia="Times New Roman" w:hAnsi="Lato" w:cs="Times New Roman"/>
          <w:color w:val="0C0C0F"/>
          <w:kern w:val="0"/>
          <w:lang w:eastAsia="it-IT"/>
          <w14:ligatures w14:val="none"/>
        </w:rPr>
        <w:t>assessment</w:t>
      </w:r>
      <w:proofErr w:type="spellEnd"/>
      <w:r w:rsidRPr="00AC3253">
        <w:rPr>
          <w:rFonts w:ascii="Lato" w:eastAsia="Times New Roman" w:hAnsi="Lato" w:cs="Times New Roman"/>
          <w:color w:val="0C0C0F"/>
          <w:kern w:val="0"/>
          <w:lang w:eastAsia="it-IT"/>
          <w14:ligatures w14:val="none"/>
        </w:rPr>
        <w:t xml:space="preserve"> dei rischi in base al proprio ordinamento giuridico e alla propria cultura in settori “a rischio” quali, a titolo di esempio: il social welfare benefit, la concessione di crediti, il recruitment, le attività di ordine pubblico, la pubblicità, il processo penale, immigrazione e asilo, la selezione di contenuti.</w:t>
      </w:r>
    </w:p>
    <w:tbl>
      <w:tblPr>
        <w:tblW w:w="5000" w:type="pct"/>
        <w:tblCellMar>
          <w:top w:w="15" w:type="dxa"/>
          <w:left w:w="15" w:type="dxa"/>
          <w:bottom w:w="15" w:type="dxa"/>
          <w:right w:w="15" w:type="dxa"/>
        </w:tblCellMar>
        <w:tblLook w:val="04A0" w:firstRow="1" w:lastRow="0" w:firstColumn="1" w:lastColumn="0" w:noHBand="0" w:noVBand="1"/>
      </w:tblPr>
      <w:tblGrid>
        <w:gridCol w:w="9622"/>
      </w:tblGrid>
      <w:tr w:rsidR="00AC3253" w:rsidRPr="00AC3253" w14:paraId="0298266C" w14:textId="77777777" w:rsidTr="00AC3253">
        <w:tc>
          <w:tcPr>
            <w:tcW w:w="5000" w:type="pct"/>
            <w:tcBorders>
              <w:top w:val="single" w:sz="6" w:space="0" w:color="D8D8D8"/>
              <w:left w:val="single" w:sz="6" w:space="0" w:color="D8D8D8"/>
              <w:bottom w:val="single" w:sz="6" w:space="0" w:color="D8D8D8"/>
              <w:right w:val="single" w:sz="6" w:space="0" w:color="D8D8D8"/>
            </w:tcBorders>
            <w:hideMark/>
          </w:tcPr>
          <w:p w14:paraId="19A5A42E" w14:textId="77777777" w:rsidR="00AC3253" w:rsidRPr="00AC3253" w:rsidRDefault="00AC3253" w:rsidP="00AC3253">
            <w:pPr>
              <w:jc w:val="center"/>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b/>
                <w:bCs/>
                <w:kern w:val="0"/>
                <w:sz w:val="23"/>
                <w:szCs w:val="23"/>
                <w:lang w:eastAsia="it-IT"/>
                <w14:ligatures w14:val="none"/>
              </w:rPr>
              <w:t>COME FARE L’ASSESSMENT</w:t>
            </w:r>
          </w:p>
        </w:tc>
      </w:tr>
      <w:tr w:rsidR="00AC3253" w:rsidRPr="00AC3253" w14:paraId="2C6E7C3F" w14:textId="77777777" w:rsidTr="00AC3253">
        <w:tc>
          <w:tcPr>
            <w:tcW w:w="5000" w:type="pct"/>
            <w:tcBorders>
              <w:top w:val="single" w:sz="6" w:space="0" w:color="D8D8D8"/>
              <w:left w:val="single" w:sz="6" w:space="0" w:color="D8D8D8"/>
              <w:bottom w:val="single" w:sz="6" w:space="0" w:color="D8D8D8"/>
              <w:right w:val="single" w:sz="6" w:space="0" w:color="D8D8D8"/>
            </w:tcBorders>
            <w:hideMark/>
          </w:tcPr>
          <w:p w14:paraId="2206A912" w14:textId="77777777" w:rsidR="00AC3253" w:rsidRPr="00AC3253" w:rsidRDefault="00AC3253" w:rsidP="00AC3253">
            <w:pPr>
              <w:spacing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Ciascuna Paese dotta o mantiene misure per l'identificazione, la valutazione, la prevenzione e l'attenuazione dei rischi posti dai sistemi di intelligenza artificiale, considerando gli impatti reali e potenziali sui diritti umani, sulla democrazia e sullo Stato di legge.</w:t>
            </w:r>
          </w:p>
          <w:p w14:paraId="7490D4FB" w14:textId="77777777" w:rsidR="00AC3253" w:rsidRPr="00AC3253" w:rsidRDefault="00AC3253" w:rsidP="00AC3253">
            <w:pPr>
              <w:spacing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Le misure sono graduali e differenziate, a seconda dei casi, e dovrebbero:</w:t>
            </w:r>
          </w:p>
          <w:p w14:paraId="73478FED"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tenere debitamente conto del contesto e dell'uso previsto dei sistemi di intelligenza artificiale, in particolare per quanto riguarda i rischi per i diritti umani, la democrazia e lo Stato di diritto;</w:t>
            </w:r>
          </w:p>
          <w:p w14:paraId="1B6962C6"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tenere debitamente conto della gravità e della probabilità dei potenziali impatti;</w:t>
            </w:r>
          </w:p>
          <w:p w14:paraId="34FEFA28"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considerare, ove opportuno, il punto di vista delle parti interessate, in particolare delle persone i cui diritti potrebbero essere compromessi;</w:t>
            </w:r>
          </w:p>
          <w:p w14:paraId="34CF9B29"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applicare in modo iterativo durante tutte le attività all'interno del ciclo di vita del sistema di intelligenza artificiale;</w:t>
            </w:r>
          </w:p>
          <w:p w14:paraId="1B804A70"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includere il monitoraggio dei rischi e degli impatti negativi sui diritti umani, sulla democrazia e sullo stato di diritto;</w:t>
            </w:r>
          </w:p>
          <w:p w14:paraId="23B47CA9"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includere la documentazione dei rischi, degli impatti effettivi e potenziali e dell'approccio di gestione del rischio;</w:t>
            </w:r>
          </w:p>
          <w:p w14:paraId="5E1F2E4B"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richiedere, ove opportuno, di testare i sistemi di intelligenza artificiale prima di renderli disponibili per il primo utilizzo e quando vengono modificati in modo significativo;</w:t>
            </w:r>
          </w:p>
          <w:p w14:paraId="6D3FD759"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lastRenderedPageBreak/>
              <w:t>ciascuna Parte adotta o mantiene misure volte a garantire che gli impatti negativi dei sistemi di intelligenza artificiale sui diritti umani, sulla democrazia e sullo stato di diritto siano adeguatamente affrontati. Tali impatti negativi e le misure per affrontarli dovrebbero essere documentati e informare le pertinenti misure di gestione del rischio;</w:t>
            </w:r>
          </w:p>
          <w:p w14:paraId="453564F2" w14:textId="77777777" w:rsidR="00AC3253" w:rsidRPr="00AC3253" w:rsidRDefault="00AC3253" w:rsidP="00AC3253">
            <w:pPr>
              <w:numPr>
                <w:ilvl w:val="0"/>
                <w:numId w:val="4"/>
              </w:numPr>
              <w:spacing w:before="100" w:beforeAutospacing="1" w:after="100" w:afterAutospacing="1"/>
              <w:rPr>
                <w:rFonts w:ascii="Times New Roman" w:eastAsia="Times New Roman" w:hAnsi="Times New Roman" w:cs="Times New Roman"/>
                <w:kern w:val="0"/>
                <w:sz w:val="23"/>
                <w:szCs w:val="23"/>
                <w:lang w:eastAsia="it-IT"/>
                <w14:ligatures w14:val="none"/>
              </w:rPr>
            </w:pPr>
            <w:r w:rsidRPr="00AC3253">
              <w:rPr>
                <w:rFonts w:ascii="Times New Roman" w:eastAsia="Times New Roman" w:hAnsi="Times New Roman" w:cs="Times New Roman"/>
                <w:kern w:val="0"/>
                <w:sz w:val="23"/>
                <w:szCs w:val="23"/>
                <w:lang w:eastAsia="it-IT"/>
                <w14:ligatures w14:val="none"/>
              </w:rPr>
              <w:t>ciascuna Parte valuta la necessità di una moratoria, di un divieto o di altre misure adeguate rispetto a determinati usi dei sistemi di intelligenza artificiale qualora ritenga che tali usi siano incompatibili con il rispetto dei diritti umani, il funzionamento della democrazia o lo Stato di diritto.</w:t>
            </w:r>
          </w:p>
        </w:tc>
      </w:tr>
    </w:tbl>
    <w:p w14:paraId="25A138AE"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lastRenderedPageBreak/>
        <w:t>Fatto l’</w:t>
      </w:r>
      <w:proofErr w:type="spellStart"/>
      <w:r w:rsidRPr="00AC3253">
        <w:rPr>
          <w:rFonts w:ascii="Lato" w:eastAsia="Times New Roman" w:hAnsi="Lato" w:cs="Times New Roman"/>
          <w:color w:val="0C0C0F"/>
          <w:kern w:val="0"/>
          <w:lang w:eastAsia="it-IT"/>
          <w14:ligatures w14:val="none"/>
        </w:rPr>
        <w:t>assessment</w:t>
      </w:r>
      <w:proofErr w:type="spellEnd"/>
      <w:r w:rsidRPr="00AC3253">
        <w:rPr>
          <w:rFonts w:ascii="Lato" w:eastAsia="Times New Roman" w:hAnsi="Lato" w:cs="Times New Roman"/>
          <w:color w:val="0C0C0F"/>
          <w:kern w:val="0"/>
          <w:lang w:eastAsia="it-IT"/>
          <w14:ligatures w14:val="none"/>
        </w:rPr>
        <w:t xml:space="preserve">, gli Stati dovranno verificare se l’attuale assetto di garanzie è sufficiente o meno; e in questo secondo caso, provvedere a rafforzarlo, dichiarando esplicitamente in un documento da notificare al segretariato generale del </w:t>
      </w:r>
      <w:proofErr w:type="spellStart"/>
      <w:r w:rsidRPr="00AC3253">
        <w:rPr>
          <w:rFonts w:ascii="Lato" w:eastAsia="Times New Roman" w:hAnsi="Lato" w:cs="Times New Roman"/>
          <w:color w:val="0C0C0F"/>
          <w:kern w:val="0"/>
          <w:lang w:eastAsia="it-IT"/>
          <w14:ligatures w14:val="none"/>
        </w:rPr>
        <w:t>Coe</w:t>
      </w:r>
      <w:proofErr w:type="spellEnd"/>
      <w:r w:rsidRPr="00AC3253">
        <w:rPr>
          <w:rFonts w:ascii="Lato" w:eastAsia="Times New Roman" w:hAnsi="Lato" w:cs="Times New Roman"/>
          <w:color w:val="0C0C0F"/>
          <w:kern w:val="0"/>
          <w:lang w:eastAsia="it-IT"/>
          <w14:ligatures w14:val="none"/>
        </w:rPr>
        <w:t xml:space="preserve"> come intendono adempiere agli obblighi convenzionali.</w:t>
      </w:r>
    </w:p>
    <w:p w14:paraId="3508431A" w14:textId="77777777" w:rsid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Sono previste eccezioni, che come sempre riguardano la protezione di interessi di sicurezza nazionale o attività di ricerca e sviluppo (a certe condizioni, ossia che non violino i tre principi).</w:t>
      </w:r>
    </w:p>
    <w:p w14:paraId="348FAE73"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p>
    <w:p w14:paraId="190318C2" w14:textId="77777777" w:rsidR="00AC3253" w:rsidRPr="00AC3253" w:rsidRDefault="00AC3253" w:rsidP="00AC3253">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1" w:name="p2"/>
      <w:bookmarkEnd w:id="1"/>
      <w:proofErr w:type="gramStart"/>
      <w:r w:rsidRPr="00AC3253">
        <w:rPr>
          <w:rFonts w:ascii="Lato" w:eastAsia="Times New Roman" w:hAnsi="Lato" w:cs="Times New Roman"/>
          <w:b/>
          <w:bCs/>
          <w:color w:val="0C0C0F"/>
          <w:kern w:val="0"/>
          <w:sz w:val="36"/>
          <w:szCs w:val="36"/>
          <w:lang w:eastAsia="it-IT"/>
          <w14:ligatures w14:val="none"/>
        </w:rPr>
        <w:t>Intelligenza  artificiale</w:t>
      </w:r>
      <w:proofErr w:type="gramEnd"/>
      <w:r w:rsidRPr="00AC3253">
        <w:rPr>
          <w:rFonts w:ascii="Lato" w:eastAsia="Times New Roman" w:hAnsi="Lato" w:cs="Times New Roman"/>
          <w:b/>
          <w:bCs/>
          <w:color w:val="0C0C0F"/>
          <w:kern w:val="0"/>
          <w:sz w:val="36"/>
          <w:szCs w:val="36"/>
          <w:lang w:eastAsia="it-IT"/>
          <w14:ligatures w14:val="none"/>
        </w:rPr>
        <w:t xml:space="preserve"> e politica: rispettare la divisione tra poteri</w:t>
      </w:r>
    </w:p>
    <w:p w14:paraId="26D99BED"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Poiché il trattato impone l’obbligo agli Stati di </w:t>
      </w:r>
      <w:proofErr w:type="spellStart"/>
      <w:r w:rsidRPr="00AC3253">
        <w:rPr>
          <w:rFonts w:ascii="Lato" w:eastAsia="Times New Roman" w:hAnsi="Lato" w:cs="Times New Roman"/>
          <w:color w:val="0C0C0F"/>
          <w:kern w:val="0"/>
          <w:lang w:eastAsia="it-IT"/>
          <w14:ligatures w14:val="none"/>
        </w:rPr>
        <w:t>di</w:t>
      </w:r>
      <w:proofErr w:type="spellEnd"/>
      <w:r w:rsidRPr="00AC3253">
        <w:rPr>
          <w:rFonts w:ascii="Lato" w:eastAsia="Times New Roman" w:hAnsi="Lato" w:cs="Times New Roman"/>
          <w:color w:val="0C0C0F"/>
          <w:kern w:val="0"/>
          <w:lang w:eastAsia="it-IT"/>
          <w14:ligatures w14:val="none"/>
        </w:rPr>
        <w:t xml:space="preserve"> garantire rule of </w:t>
      </w:r>
      <w:proofErr w:type="spellStart"/>
      <w:r w:rsidRPr="00AC3253">
        <w:rPr>
          <w:rFonts w:ascii="Lato" w:eastAsia="Times New Roman" w:hAnsi="Lato" w:cs="Times New Roman"/>
          <w:color w:val="0C0C0F"/>
          <w:kern w:val="0"/>
          <w:lang w:eastAsia="it-IT"/>
          <w14:ligatures w14:val="none"/>
        </w:rPr>
        <w:t>law</w:t>
      </w:r>
      <w:proofErr w:type="spellEnd"/>
      <w:r w:rsidRPr="00AC3253">
        <w:rPr>
          <w:rFonts w:ascii="Lato" w:eastAsia="Times New Roman" w:hAnsi="Lato" w:cs="Times New Roman"/>
          <w:color w:val="0C0C0F"/>
          <w:kern w:val="0"/>
          <w:lang w:eastAsia="it-IT"/>
          <w14:ligatures w14:val="none"/>
        </w:rPr>
        <w:t xml:space="preserve"> e integrità dei processi democratici, la partita è delicata. Le preoccupazioni di implementazioni di sistemi di AI che violano tali principi riguardano i rischi di disinformazione, l’assunzione di decisioni pregiudizievoli, pratiche discriminatorie, l’influenza sulle decisioni del potere giudiziario, </w:t>
      </w:r>
      <w:proofErr w:type="gramStart"/>
      <w:r w:rsidRPr="00AC3253">
        <w:rPr>
          <w:rFonts w:ascii="Lato" w:eastAsia="Times New Roman" w:hAnsi="Lato" w:cs="Times New Roman"/>
          <w:color w:val="0C0C0F"/>
          <w:kern w:val="0"/>
          <w:lang w:eastAsia="it-IT"/>
          <w14:ligatures w14:val="none"/>
        </w:rPr>
        <w:t>la  sorveglianza</w:t>
      </w:r>
      <w:proofErr w:type="gramEnd"/>
      <w:r w:rsidRPr="00AC3253">
        <w:rPr>
          <w:rFonts w:ascii="Lato" w:eastAsia="Times New Roman" w:hAnsi="Lato" w:cs="Times New Roman"/>
          <w:color w:val="0C0C0F"/>
          <w:kern w:val="0"/>
          <w:lang w:eastAsia="it-IT"/>
          <w14:ligatures w14:val="none"/>
        </w:rPr>
        <w:t xml:space="preserve"> illegale e arbitraria.</w:t>
      </w:r>
    </w:p>
    <w:p w14:paraId="053F9796"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Il Trattato impone l’obbligo di garantire la separazione dei poteri, prevedendo i giusti contrappesi, così come il mantenimento della equilibrata distribuzione dei poteri, anche rispetto alla implementazione e integrazione di sistemi di AI per l’esercizio di poteri costituzionalmente disciplinati; il pluralismo politico </w:t>
      </w:r>
      <w:proofErr w:type="gramStart"/>
      <w:r w:rsidRPr="00AC3253">
        <w:rPr>
          <w:rFonts w:ascii="Lato" w:eastAsia="Times New Roman" w:hAnsi="Lato" w:cs="Times New Roman"/>
          <w:color w:val="0C0C0F"/>
          <w:kern w:val="0"/>
          <w:lang w:eastAsia="it-IT"/>
          <w14:ligatures w14:val="none"/>
        </w:rPr>
        <w:t>e</w:t>
      </w:r>
      <w:proofErr w:type="gramEnd"/>
      <w:r w:rsidRPr="00AC3253">
        <w:rPr>
          <w:rFonts w:ascii="Lato" w:eastAsia="Times New Roman" w:hAnsi="Lato" w:cs="Times New Roman"/>
          <w:color w:val="0C0C0F"/>
          <w:kern w:val="0"/>
          <w:lang w:eastAsia="it-IT"/>
          <w14:ligatures w14:val="none"/>
        </w:rPr>
        <w:t xml:space="preserve"> elezioni libere ed eque; e la istituzione di agenzie terze per la governance e il controllo della implementazione pubblica dei sistemi di AI.</w:t>
      </w:r>
    </w:p>
    <w:p w14:paraId="73A709B7"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Viene da chiedersi se, alla luce di questo principi convenzionali, la scelta del Governo Meloni di individuare in organismi di nomina governativa come </w:t>
      </w:r>
      <w:proofErr w:type="spellStart"/>
      <w:r w:rsidRPr="00AC3253">
        <w:rPr>
          <w:rFonts w:ascii="Lato" w:eastAsia="Times New Roman" w:hAnsi="Lato" w:cs="Times New Roman"/>
          <w:color w:val="0C0C0F"/>
          <w:kern w:val="0"/>
          <w:lang w:eastAsia="it-IT"/>
          <w14:ligatures w14:val="none"/>
        </w:rPr>
        <w:t>Agid</w:t>
      </w:r>
      <w:proofErr w:type="spellEnd"/>
      <w:r w:rsidRPr="00AC3253">
        <w:rPr>
          <w:rFonts w:ascii="Lato" w:eastAsia="Times New Roman" w:hAnsi="Lato" w:cs="Times New Roman"/>
          <w:color w:val="0C0C0F"/>
          <w:kern w:val="0"/>
          <w:lang w:eastAsia="it-IT"/>
          <w14:ligatures w14:val="none"/>
        </w:rPr>
        <w:t xml:space="preserve"> e </w:t>
      </w:r>
      <w:proofErr w:type="spellStart"/>
      <w:r w:rsidRPr="00AC3253">
        <w:rPr>
          <w:rFonts w:ascii="Lato" w:eastAsia="Times New Roman" w:hAnsi="Lato" w:cs="Times New Roman"/>
          <w:color w:val="0C0C0F"/>
          <w:kern w:val="0"/>
          <w:lang w:eastAsia="it-IT"/>
          <w14:ligatures w14:val="none"/>
        </w:rPr>
        <w:t>Acn</w:t>
      </w:r>
      <w:proofErr w:type="spellEnd"/>
      <w:r w:rsidRPr="00AC3253">
        <w:rPr>
          <w:rFonts w:ascii="Lato" w:eastAsia="Times New Roman" w:hAnsi="Lato" w:cs="Times New Roman"/>
          <w:color w:val="0C0C0F"/>
          <w:kern w:val="0"/>
          <w:lang w:eastAsia="it-IT"/>
          <w14:ligatures w14:val="none"/>
        </w:rPr>
        <w:t xml:space="preserve"> le autorità competenti alla verifica e controllo sulla realizzazione dei sistemi di AI rimanga compatibile. Vedremo.</w:t>
      </w:r>
    </w:p>
    <w:p w14:paraId="6A2CA278"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Ulteriore obbligo è quello del rispetto della rule of </w:t>
      </w:r>
      <w:proofErr w:type="spellStart"/>
      <w:r w:rsidRPr="00AC3253">
        <w:rPr>
          <w:rFonts w:ascii="Lato" w:eastAsia="Times New Roman" w:hAnsi="Lato" w:cs="Times New Roman"/>
          <w:color w:val="0C0C0F"/>
          <w:kern w:val="0"/>
          <w:lang w:eastAsia="it-IT"/>
          <w14:ligatures w14:val="none"/>
        </w:rPr>
        <w:t>law</w:t>
      </w:r>
      <w:proofErr w:type="spellEnd"/>
      <w:r w:rsidRPr="00AC3253">
        <w:rPr>
          <w:rFonts w:ascii="Lato" w:eastAsia="Times New Roman" w:hAnsi="Lato" w:cs="Times New Roman"/>
          <w:color w:val="0C0C0F"/>
          <w:kern w:val="0"/>
          <w:lang w:eastAsia="it-IT"/>
          <w14:ligatures w14:val="none"/>
        </w:rPr>
        <w:t>, incarnata dai principi di legalità, di certezza del diritto, di non arbitrarietà, di accesso alla giustizia, di corretta amministrazione e di indipendenza della magistratura.</w:t>
      </w:r>
    </w:p>
    <w:p w14:paraId="4D61D280" w14:textId="77777777" w:rsid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lastRenderedPageBreak/>
        <w:t>Per la Convenzione il punto focale è preservare la capacità del singolo di formarsi una propria opinione e agire di conseguenza e la capacità di influenzare le decisioni prese in suo conto, con il supporto di sistemi di AI.</w:t>
      </w:r>
    </w:p>
    <w:p w14:paraId="12AFE987"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p>
    <w:p w14:paraId="3CD54A79" w14:textId="77777777" w:rsidR="00AC3253" w:rsidRPr="00AC3253" w:rsidRDefault="00AC3253" w:rsidP="00AC3253">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2" w:name="p3"/>
      <w:bookmarkEnd w:id="2"/>
      <w:r w:rsidRPr="00AC3253">
        <w:rPr>
          <w:rFonts w:ascii="Lato" w:eastAsia="Times New Roman" w:hAnsi="Lato" w:cs="Times New Roman"/>
          <w:b/>
          <w:bCs/>
          <w:color w:val="0C0C0F"/>
          <w:kern w:val="0"/>
          <w:sz w:val="36"/>
          <w:szCs w:val="36"/>
          <w:lang w:eastAsia="it-IT"/>
          <w14:ligatures w14:val="none"/>
        </w:rPr>
        <w:t>I principi da rispettare</w:t>
      </w:r>
    </w:p>
    <w:p w14:paraId="5D96D2DB"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Il trattato esplicita i sette principi da rispettare + il principio di non discriminazione delle categorie più deboli. Vediamoli sinteticamente insieme con i loro specifici obiettivi.</w:t>
      </w:r>
    </w:p>
    <w:p w14:paraId="7E23FFA9"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Si tratta dei principi di dignità umana e autonomia individuale (che significa preservare in capo all’individuo il potere di controllo sull’utilizzo e sull’impatto dei sistemi di AI nella propria vita); di trasparenza e supervisione, su cui vale la pena soffermarsi.</w:t>
      </w:r>
    </w:p>
    <w:p w14:paraId="4613EA02"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I due principi, nel trattato, sono collegati alla chiarezza di governance, alla necessità di fornire informazioni aggiuntive su algoritmi,  alla disclosure sui tipi e livelli di automazione nell’assunzione di decisioni importanti, alla adozione di watermark per identificare i contenuti realizzati con AI, alla </w:t>
      </w:r>
      <w:proofErr w:type="spellStart"/>
      <w:r w:rsidRPr="00AC3253">
        <w:rPr>
          <w:rFonts w:ascii="Lato" w:eastAsia="Times New Roman" w:hAnsi="Lato" w:cs="Times New Roman"/>
          <w:color w:val="0C0C0F"/>
          <w:kern w:val="0"/>
          <w:lang w:eastAsia="it-IT"/>
          <w14:ligatures w14:val="none"/>
        </w:rPr>
        <w:t>esplicabilità</w:t>
      </w:r>
      <w:proofErr w:type="spellEnd"/>
      <w:r w:rsidRPr="00AC3253">
        <w:rPr>
          <w:rFonts w:ascii="Lato" w:eastAsia="Times New Roman" w:hAnsi="Lato" w:cs="Times New Roman"/>
          <w:color w:val="0C0C0F"/>
          <w:kern w:val="0"/>
          <w:lang w:eastAsia="it-IT"/>
          <w14:ligatures w14:val="none"/>
        </w:rPr>
        <w:t xml:space="preserve"> e alla interpretabilità intese, la prima come  capacità di fornire spiegazioni sufficientemente comprensibili anche tramite la indicazioni dei fattori presi in considerazione soprattutto nelle decisioni automatizzate nel campo della sanità, della giustizia penale,  delle finanze; la interpretabilità come capacità di rendere comprensibili gli output del procedimento automatizzato.</w:t>
      </w:r>
    </w:p>
    <w:p w14:paraId="0505330F"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Il Trattato ammette la difficoltà di implementazione dei due </w:t>
      </w:r>
      <w:proofErr w:type="gramStart"/>
      <w:r w:rsidRPr="00AC3253">
        <w:rPr>
          <w:rFonts w:ascii="Lato" w:eastAsia="Times New Roman" w:hAnsi="Lato" w:cs="Times New Roman"/>
          <w:color w:val="0C0C0F"/>
          <w:kern w:val="0"/>
          <w:lang w:eastAsia="it-IT"/>
          <w14:ligatures w14:val="none"/>
        </w:rPr>
        <w:t>principi  e</w:t>
      </w:r>
      <w:proofErr w:type="gramEnd"/>
      <w:r w:rsidRPr="00AC3253">
        <w:rPr>
          <w:rFonts w:ascii="Lato" w:eastAsia="Times New Roman" w:hAnsi="Lato" w:cs="Times New Roman"/>
          <w:color w:val="0C0C0F"/>
          <w:kern w:val="0"/>
          <w:lang w:eastAsia="it-IT"/>
          <w14:ligatures w14:val="none"/>
        </w:rPr>
        <w:t xml:space="preserve"> per questo li collega a quello che è possibile aspettarsi in base agli attuali standard tecnici e limiti tecnologici.</w:t>
      </w:r>
    </w:p>
    <w:p w14:paraId="3384823E"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La supervisione dei sistemi di AI andrebbe garantita con adozione </w:t>
      </w:r>
      <w:proofErr w:type="gramStart"/>
      <w:r w:rsidRPr="00AC3253">
        <w:rPr>
          <w:rFonts w:ascii="Lato" w:eastAsia="Times New Roman" w:hAnsi="Lato" w:cs="Times New Roman"/>
          <w:color w:val="0C0C0F"/>
          <w:kern w:val="0"/>
          <w:lang w:eastAsia="it-IT"/>
          <w14:ligatures w14:val="none"/>
        </w:rPr>
        <w:t>di  meccanismi</w:t>
      </w:r>
      <w:proofErr w:type="gramEnd"/>
      <w:r w:rsidRPr="00AC3253">
        <w:rPr>
          <w:rFonts w:ascii="Lato" w:eastAsia="Times New Roman" w:hAnsi="Lato" w:cs="Times New Roman"/>
          <w:color w:val="0C0C0F"/>
          <w:kern w:val="0"/>
          <w:lang w:eastAsia="it-IT"/>
          <w14:ligatures w14:val="none"/>
        </w:rPr>
        <w:t xml:space="preserve"> e processi per monitorare il loro utilizzo, basati eventualmente su norme così come su codici di condotte.</w:t>
      </w:r>
    </w:p>
    <w:p w14:paraId="7D855C69"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In questo campo è significativa la proposta di prevedere attività di </w:t>
      </w:r>
      <w:proofErr w:type="spellStart"/>
      <w:r w:rsidRPr="00AC3253">
        <w:rPr>
          <w:rFonts w:ascii="Lato" w:eastAsia="Times New Roman" w:hAnsi="Lato" w:cs="Times New Roman"/>
          <w:color w:val="0C0C0F"/>
          <w:kern w:val="0"/>
          <w:lang w:eastAsia="it-IT"/>
          <w14:ligatures w14:val="none"/>
        </w:rPr>
        <w:t>whisteblowing</w:t>
      </w:r>
      <w:proofErr w:type="spellEnd"/>
      <w:r w:rsidRPr="00AC3253">
        <w:rPr>
          <w:rFonts w:ascii="Lato" w:eastAsia="Times New Roman" w:hAnsi="Lato" w:cs="Times New Roman"/>
          <w:color w:val="0C0C0F"/>
          <w:kern w:val="0"/>
          <w:lang w:eastAsia="it-IT"/>
          <w14:ligatures w14:val="none"/>
        </w:rPr>
        <w:t xml:space="preserve"> interni per svelare cattive condotte o testare la veridicità delle dichiarazioni pubbliche.</w:t>
      </w:r>
    </w:p>
    <w:p w14:paraId="00372AD3"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Proseguendo nella indicazione dei principi, troviamo quelli di </w:t>
      </w:r>
      <w:proofErr w:type="spellStart"/>
      <w:r w:rsidRPr="00AC3253">
        <w:rPr>
          <w:rFonts w:ascii="Lato" w:eastAsia="Times New Roman" w:hAnsi="Lato" w:cs="Times New Roman"/>
          <w:color w:val="0C0C0F"/>
          <w:kern w:val="0"/>
          <w:lang w:eastAsia="it-IT"/>
          <w14:ligatures w14:val="none"/>
        </w:rPr>
        <w:t>di</w:t>
      </w:r>
      <w:proofErr w:type="spellEnd"/>
      <w:r w:rsidRPr="00AC3253">
        <w:rPr>
          <w:rFonts w:ascii="Lato" w:eastAsia="Times New Roman" w:hAnsi="Lato" w:cs="Times New Roman"/>
          <w:color w:val="0C0C0F"/>
          <w:kern w:val="0"/>
          <w:lang w:eastAsia="it-IT"/>
          <w14:ligatures w14:val="none"/>
        </w:rPr>
        <w:t xml:space="preserve"> responsabilità e di responsabilizzazione (accountability), intesi come la possibilità di rintracciare azioni e decisioni fino alla identificazione di specifici soggetti e/o enti nella filiera di produzione e di implementazione </w:t>
      </w:r>
      <w:proofErr w:type="gramStart"/>
      <w:r w:rsidRPr="00AC3253">
        <w:rPr>
          <w:rFonts w:ascii="Lato" w:eastAsia="Times New Roman" w:hAnsi="Lato" w:cs="Times New Roman"/>
          <w:color w:val="0C0C0F"/>
          <w:kern w:val="0"/>
          <w:lang w:eastAsia="it-IT"/>
          <w14:ligatures w14:val="none"/>
        </w:rPr>
        <w:t>del sistemi</w:t>
      </w:r>
      <w:proofErr w:type="gramEnd"/>
      <w:r w:rsidRPr="00AC3253">
        <w:rPr>
          <w:rFonts w:ascii="Lato" w:eastAsia="Times New Roman" w:hAnsi="Lato" w:cs="Times New Roman"/>
          <w:color w:val="0C0C0F"/>
          <w:kern w:val="0"/>
          <w:lang w:eastAsia="it-IT"/>
          <w14:ligatures w14:val="none"/>
        </w:rPr>
        <w:t xml:space="preserve"> di AI, assumendo le opportune misure giudiziarie, amministrative, di responsabilità civile.</w:t>
      </w:r>
    </w:p>
    <w:p w14:paraId="5F728BBC"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Il principio di uguaglianza e non discriminazione è inteso a coprire non solo le ipotesi già sistematizzate in base alla Convenzione dei diritti umani, ma </w:t>
      </w:r>
      <w:proofErr w:type="gramStart"/>
      <w:r w:rsidRPr="00AC3253">
        <w:rPr>
          <w:rFonts w:ascii="Lato" w:eastAsia="Times New Roman" w:hAnsi="Lato" w:cs="Times New Roman"/>
          <w:color w:val="0C0C0F"/>
          <w:kern w:val="0"/>
          <w:lang w:eastAsia="it-IT"/>
          <w14:ligatures w14:val="none"/>
        </w:rPr>
        <w:t>anche  i</w:t>
      </w:r>
      <w:proofErr w:type="gramEnd"/>
      <w:r w:rsidRPr="00AC3253">
        <w:rPr>
          <w:rFonts w:ascii="Lato" w:eastAsia="Times New Roman" w:hAnsi="Lato" w:cs="Times New Roman"/>
          <w:color w:val="0C0C0F"/>
          <w:kern w:val="0"/>
          <w:lang w:eastAsia="it-IT"/>
          <w14:ligatures w14:val="none"/>
        </w:rPr>
        <w:t xml:space="preserve"> “nuovi” pregiudizi, quelli </w:t>
      </w:r>
      <w:r w:rsidRPr="00AC3253">
        <w:rPr>
          <w:rFonts w:ascii="Lato" w:eastAsia="Times New Roman" w:hAnsi="Lato" w:cs="Times New Roman"/>
          <w:color w:val="0C0C0F"/>
          <w:kern w:val="0"/>
          <w:lang w:eastAsia="it-IT"/>
          <w14:ligatures w14:val="none"/>
        </w:rPr>
        <w:lastRenderedPageBreak/>
        <w:t xml:space="preserve">tecnici e quelli sociali, tipici della AI. Il "pregiudizio tecnico" si riferisce ai </w:t>
      </w:r>
      <w:proofErr w:type="spellStart"/>
      <w:r w:rsidRPr="00AC3253">
        <w:rPr>
          <w:rFonts w:ascii="Lato" w:eastAsia="Times New Roman" w:hAnsi="Lato" w:cs="Times New Roman"/>
          <w:color w:val="0C0C0F"/>
          <w:kern w:val="0"/>
          <w:lang w:eastAsia="it-IT"/>
          <w14:ligatures w14:val="none"/>
        </w:rPr>
        <w:t>bias</w:t>
      </w:r>
      <w:proofErr w:type="spellEnd"/>
      <w:r w:rsidRPr="00AC3253">
        <w:rPr>
          <w:rFonts w:ascii="Lato" w:eastAsia="Times New Roman" w:hAnsi="Lato" w:cs="Times New Roman"/>
          <w:color w:val="0C0C0F"/>
          <w:kern w:val="0"/>
          <w:lang w:eastAsia="it-IT"/>
          <w14:ligatures w14:val="none"/>
        </w:rPr>
        <w:t xml:space="preserve"> che emergono dall'applicazione dell'apprendimento automatico, che possono introdurre distorsioni non presenti nei dati originali utilizzati per addestrare i sistemi. Il "pregiudizio sociale", invece, riguarda il mancato riconoscimento delle disuguaglianze storiche o attuali nella società durante il processo di progettazione e formazione dei modelli di IA.</w:t>
      </w:r>
    </w:p>
    <w:p w14:paraId="48679625"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Questi pregiudizi possono derivare da diverse fonti, inclusi gli stereotipi inconsci dei progettisti di algoritmi, le distorsioni incorporate nei modelli su cui sono costruiti i sistemi, o le carenze nei set di dati di addestramento.</w:t>
      </w:r>
    </w:p>
    <w:p w14:paraId="48F7F26A"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La Convenzione richiede alle Parti di affrontare e mitigare questi pregiudizi attraverso regolamentazioni appropriate, governance e soluzioni tecniche. Ciò include anche il superamento delle barriere storiche e strutturali all'uguaglianza di genere e alla giusta trattazione delle persone appartenenti a gruppi tradizionalmente discriminati o trascurati. Le Parti sono inoltre incoraggiate a considerare l'impatto delle loro leggi e politiche nazionali in questo contesto, adottando misure che promuovano un'effettiva uguaglianza e combattano la discriminazione in tutte le fasi del ciclo di vita dei sistemi di IA.</w:t>
      </w:r>
    </w:p>
    <w:p w14:paraId="6B1BB8B4"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Il principio di privacy e data </w:t>
      </w:r>
      <w:proofErr w:type="spellStart"/>
      <w:r w:rsidRPr="00AC3253">
        <w:rPr>
          <w:rFonts w:ascii="Lato" w:eastAsia="Times New Roman" w:hAnsi="Lato" w:cs="Times New Roman"/>
          <w:color w:val="0C0C0F"/>
          <w:kern w:val="0"/>
          <w:lang w:eastAsia="it-IT"/>
          <w14:ligatures w14:val="none"/>
        </w:rPr>
        <w:t>protection</w:t>
      </w:r>
      <w:proofErr w:type="spellEnd"/>
      <w:r w:rsidRPr="00AC3253">
        <w:rPr>
          <w:rFonts w:ascii="Lato" w:eastAsia="Times New Roman" w:hAnsi="Lato" w:cs="Times New Roman"/>
          <w:color w:val="0C0C0F"/>
          <w:kern w:val="0"/>
          <w:lang w:eastAsia="it-IT"/>
          <w14:ligatures w14:val="none"/>
        </w:rPr>
        <w:t xml:space="preserve"> e il principio di affidabilità, che chiama in causa il potenziale ruolo di specifiche tecniche, sistemi di assicurazione, schemi di conformità, tutti meccanismi che possono promuovere la fiducia dei cittadini.</w:t>
      </w:r>
    </w:p>
    <w:p w14:paraId="2189B652" w14:textId="77777777" w:rsid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 xml:space="preserve">Ulteriore principio è quello di innovazione sicura, con la previsione di ambienti controllati come le </w:t>
      </w:r>
      <w:proofErr w:type="spellStart"/>
      <w:r w:rsidRPr="00AC3253">
        <w:rPr>
          <w:rFonts w:ascii="Lato" w:eastAsia="Times New Roman" w:hAnsi="Lato" w:cs="Times New Roman"/>
          <w:color w:val="0C0C0F"/>
          <w:kern w:val="0"/>
          <w:lang w:eastAsia="it-IT"/>
          <w14:ligatures w14:val="none"/>
        </w:rPr>
        <w:t>sand</w:t>
      </w:r>
      <w:proofErr w:type="spellEnd"/>
      <w:r w:rsidRPr="00AC3253">
        <w:rPr>
          <w:rFonts w:ascii="Lato" w:eastAsia="Times New Roman" w:hAnsi="Lato" w:cs="Times New Roman"/>
          <w:color w:val="0C0C0F"/>
          <w:kern w:val="0"/>
          <w:lang w:eastAsia="it-IT"/>
          <w14:ligatures w14:val="none"/>
        </w:rPr>
        <w:t xml:space="preserve"> box per la progettazione dei sistemi di AI.</w:t>
      </w:r>
    </w:p>
    <w:p w14:paraId="3C06E18F"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p>
    <w:p w14:paraId="3B24350A" w14:textId="77777777" w:rsidR="00AC3253" w:rsidRPr="00AC3253" w:rsidRDefault="00AC3253" w:rsidP="00AC3253">
      <w:pPr>
        <w:spacing w:line="360" w:lineRule="auto"/>
        <w:jc w:val="both"/>
        <w:outlineLvl w:val="1"/>
        <w:rPr>
          <w:rFonts w:ascii="Lato" w:eastAsia="Times New Roman" w:hAnsi="Lato" w:cs="Times New Roman"/>
          <w:b/>
          <w:bCs/>
          <w:color w:val="0C0C0F"/>
          <w:kern w:val="0"/>
          <w:sz w:val="36"/>
          <w:szCs w:val="36"/>
          <w:lang w:eastAsia="it-IT"/>
          <w14:ligatures w14:val="none"/>
        </w:rPr>
      </w:pPr>
      <w:bookmarkStart w:id="3" w:name="p4"/>
      <w:bookmarkEnd w:id="3"/>
      <w:r w:rsidRPr="00AC3253">
        <w:rPr>
          <w:rFonts w:ascii="Lato" w:eastAsia="Times New Roman" w:hAnsi="Lato" w:cs="Times New Roman"/>
          <w:b/>
          <w:bCs/>
          <w:color w:val="0C0C0F"/>
          <w:kern w:val="0"/>
          <w:sz w:val="36"/>
          <w:szCs w:val="36"/>
          <w:lang w:eastAsia="it-IT"/>
          <w14:ligatures w14:val="none"/>
        </w:rPr>
        <w:t>L’emergenza formazione digitale</w:t>
      </w:r>
    </w:p>
    <w:p w14:paraId="7713A4E2" w14:textId="77777777" w:rsidR="00AC3253" w:rsidRPr="00AC3253" w:rsidRDefault="00AC3253" w:rsidP="00AC3253">
      <w:pPr>
        <w:spacing w:line="360" w:lineRule="auto"/>
        <w:jc w:val="both"/>
        <w:rPr>
          <w:rFonts w:ascii="Lato" w:eastAsia="Times New Roman" w:hAnsi="Lato" w:cs="Times New Roman"/>
          <w:color w:val="0C0C0F"/>
          <w:kern w:val="0"/>
          <w:lang w:eastAsia="it-IT"/>
          <w14:ligatures w14:val="none"/>
        </w:rPr>
      </w:pPr>
      <w:r w:rsidRPr="00AC3253">
        <w:rPr>
          <w:rFonts w:ascii="Lato" w:eastAsia="Times New Roman" w:hAnsi="Lato" w:cs="Times New Roman"/>
          <w:color w:val="0C0C0F"/>
          <w:kern w:val="0"/>
          <w:lang w:eastAsia="it-IT"/>
          <w14:ligatures w14:val="none"/>
        </w:rPr>
        <w:t>Il trattato non solo specifica che i rimedi per contestare sia l’uso che le decisioni automatizzate devono essere accessibili, chiari, ma dedica ampio spazio al tema della formazione, sia quella generalizzata sia quella specialistica e verticale, destinata ai responsabili dell'identificazione, della valutazione, della prevenzione e della mitigazione dei rischi posti dall'intelligenza artificiale, tra cui il potere giudiziario, le autorità nazionali di supervisione, le autorità per la protezione dei dati, gli organi per l'uguaglianza e i diritti umani, gli ombudsman, le autorità per la protezione dei consumatori, i fornitori di intelligenza artificiale e gli utenti di intelligenza artificiale.</w:t>
      </w:r>
    </w:p>
    <w:p w14:paraId="04BBF154" w14:textId="77777777" w:rsidR="008E2FE0" w:rsidRDefault="008E2FE0" w:rsidP="00AC3253">
      <w:pPr>
        <w:spacing w:line="360" w:lineRule="auto"/>
        <w:jc w:val="both"/>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0000000000000000000"/>
    <w:charset w:val="00"/>
    <w:family w:val="auto"/>
    <w:pitch w:val="variable"/>
    <w:sig w:usb0="000004FF" w:usb1="8000405F" w:usb2="00000022" w:usb3="00000000" w:csb0="0000019F"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35DE"/>
    <w:multiLevelType w:val="multilevel"/>
    <w:tmpl w:val="A03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325A2"/>
    <w:multiLevelType w:val="multilevel"/>
    <w:tmpl w:val="C86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E773A6"/>
    <w:multiLevelType w:val="multilevel"/>
    <w:tmpl w:val="11E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543B7"/>
    <w:multiLevelType w:val="multilevel"/>
    <w:tmpl w:val="0EE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986665">
    <w:abstractNumId w:val="0"/>
  </w:num>
  <w:num w:numId="2" w16cid:durableId="1747456745">
    <w:abstractNumId w:val="2"/>
  </w:num>
  <w:num w:numId="3" w16cid:durableId="749039984">
    <w:abstractNumId w:val="3"/>
  </w:num>
  <w:num w:numId="4" w16cid:durableId="93606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53"/>
    <w:rsid w:val="00004DD0"/>
    <w:rsid w:val="00654824"/>
    <w:rsid w:val="008E2FE0"/>
    <w:rsid w:val="0093573D"/>
    <w:rsid w:val="00AC3253"/>
    <w:rsid w:val="00ED4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DC12"/>
  <w15:chartTrackingRefBased/>
  <w15:docId w15:val="{ABEED76A-DF22-8C44-B143-66F3BC80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C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32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32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32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325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325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325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325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32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C32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32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32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32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32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32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32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32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325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32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325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32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325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3253"/>
    <w:rPr>
      <w:i/>
      <w:iCs/>
      <w:color w:val="404040" w:themeColor="text1" w:themeTint="BF"/>
    </w:rPr>
  </w:style>
  <w:style w:type="paragraph" w:styleId="Paragrafoelenco">
    <w:name w:val="List Paragraph"/>
    <w:basedOn w:val="Normale"/>
    <w:uiPriority w:val="34"/>
    <w:qFormat/>
    <w:rsid w:val="00AC3253"/>
    <w:pPr>
      <w:ind w:left="720"/>
      <w:contextualSpacing/>
    </w:pPr>
  </w:style>
  <w:style w:type="character" w:styleId="Enfasiintensa">
    <w:name w:val="Intense Emphasis"/>
    <w:basedOn w:val="Carpredefinitoparagrafo"/>
    <w:uiPriority w:val="21"/>
    <w:qFormat/>
    <w:rsid w:val="00AC3253"/>
    <w:rPr>
      <w:i/>
      <w:iCs/>
      <w:color w:val="0F4761" w:themeColor="accent1" w:themeShade="BF"/>
    </w:rPr>
  </w:style>
  <w:style w:type="paragraph" w:styleId="Citazioneintensa">
    <w:name w:val="Intense Quote"/>
    <w:basedOn w:val="Normale"/>
    <w:next w:val="Normale"/>
    <w:link w:val="CitazioneintensaCarattere"/>
    <w:uiPriority w:val="30"/>
    <w:qFormat/>
    <w:rsid w:val="00AC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3253"/>
    <w:rPr>
      <w:i/>
      <w:iCs/>
      <w:color w:val="0F4761" w:themeColor="accent1" w:themeShade="BF"/>
    </w:rPr>
  </w:style>
  <w:style w:type="character" w:styleId="Riferimentointenso">
    <w:name w:val="Intense Reference"/>
    <w:basedOn w:val="Carpredefinitoparagrafo"/>
    <w:uiPriority w:val="32"/>
    <w:qFormat/>
    <w:rsid w:val="00AC3253"/>
    <w:rPr>
      <w:b/>
      <w:bCs/>
      <w:smallCaps/>
      <w:color w:val="0F4761" w:themeColor="accent1" w:themeShade="BF"/>
      <w:spacing w:val="5"/>
    </w:rPr>
  </w:style>
  <w:style w:type="character" w:customStyle="1" w:styleId="apple-converted-space">
    <w:name w:val="apple-converted-space"/>
    <w:basedOn w:val="Carpredefinitoparagrafo"/>
    <w:rsid w:val="00AC3253"/>
  </w:style>
  <w:style w:type="character" w:styleId="Collegamentoipertestuale">
    <w:name w:val="Hyperlink"/>
    <w:basedOn w:val="Carpredefinitoparagrafo"/>
    <w:uiPriority w:val="99"/>
    <w:semiHidden/>
    <w:unhideWhenUsed/>
    <w:rsid w:val="00AC3253"/>
    <w:rPr>
      <w:color w:val="0000FF"/>
      <w:u w:val="single"/>
    </w:rPr>
  </w:style>
  <w:style w:type="paragraph" w:customStyle="1" w:styleId="article-tools-li-stampa">
    <w:name w:val="article-tools-li-stampa"/>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word">
    <w:name w:val="article-tools-li-word"/>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pdf">
    <w:name w:val="article-tools-li-pdf"/>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facebook">
    <w:name w:val="article-tools-li-facebook"/>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twitter">
    <w:name w:val="article-tools-li-twitter"/>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linkedin">
    <w:name w:val="article-tools-li-linkedin"/>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mail">
    <w:name w:val="article-tools-li-mail"/>
    <w:basedOn w:val="Normale"/>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AC3253"/>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AC3253"/>
    <w:rPr>
      <w:i/>
      <w:iCs/>
    </w:rPr>
  </w:style>
  <w:style w:type="character" w:styleId="Enfasigrassetto">
    <w:name w:val="Strong"/>
    <w:basedOn w:val="Carpredefinitoparagrafo"/>
    <w:uiPriority w:val="22"/>
    <w:qFormat/>
    <w:rsid w:val="00AC3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ce.coe.int/en/files/33517" TargetMode="External"/><Relationship Id="rId5" Type="http://schemas.openxmlformats.org/officeDocument/2006/relationships/hyperlink" Target="https://www.altalex.com/documents/news/2023/09/05/whistleblowing-dal-15-luglio-in-vigore-le-nuove-tutel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2278</Words>
  <Characters>12991</Characters>
  <Application>Microsoft Office Word</Application>
  <DocSecurity>0</DocSecurity>
  <Lines>108</Lines>
  <Paragraphs>30</Paragraphs>
  <ScaleCrop>false</ScaleCrop>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2025-10-05T14:32:00Z</dcterms:created>
  <dcterms:modified xsi:type="dcterms:W3CDTF">2025-10-05T14:48:00Z</dcterms:modified>
</cp:coreProperties>
</file>