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67" w:rsidRDefault="003705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4174"/>
        <w:gridCol w:w="1392"/>
        <w:gridCol w:w="1576"/>
        <w:gridCol w:w="876"/>
      </w:tblGrid>
      <w:tr w:rsidR="00370567">
        <w:tc>
          <w:tcPr>
            <w:tcW w:w="9748" w:type="dxa"/>
            <w:gridSpan w:val="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LABORATORIO 2° ANNO: SOMMINISTRAZIONE DEI FARMACI PER VIA INTRAMUSCOLARE</w:t>
            </w:r>
          </w:p>
        </w:tc>
      </w:tr>
      <w:tr w:rsidR="00370567">
        <w:tc>
          <w:tcPr>
            <w:tcW w:w="9748" w:type="dxa"/>
            <w:gridSpan w:val="5"/>
          </w:tcPr>
          <w:p w:rsidR="00370567" w:rsidRDefault="000A21A6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OBIETTIVI</w:t>
            </w:r>
          </w:p>
          <w:p w:rsidR="00370567" w:rsidRDefault="000A21A6">
            <w:r>
              <w:t>Lo studente al termine del laboratorio deve essere in grado di:</w:t>
            </w:r>
          </w:p>
          <w:p w:rsidR="00370567" w:rsidRDefault="000A21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Saper individuare le sedi ed i relativi punti di repere</w:t>
            </w:r>
          </w:p>
          <w:p w:rsidR="00370567" w:rsidRDefault="000A21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Somministrare in sicurezza il farmaco per via intramuscolare</w:t>
            </w:r>
          </w:p>
          <w:p w:rsidR="00370567" w:rsidRDefault="000A21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Tempo previsto per la procedura 15 Minuti</w:t>
            </w:r>
          </w:p>
          <w:p w:rsidR="00370567" w:rsidRDefault="00370567">
            <w:pPr>
              <w:rPr>
                <w:color w:val="FF0000"/>
              </w:rPr>
            </w:pPr>
          </w:p>
        </w:tc>
      </w:tr>
      <w:tr w:rsidR="00370567">
        <w:tc>
          <w:tcPr>
            <w:tcW w:w="1730" w:type="dxa"/>
            <w:shd w:val="clear" w:color="auto" w:fill="FFD965"/>
          </w:tcPr>
          <w:p w:rsidR="00370567" w:rsidRDefault="00370567"/>
        </w:tc>
        <w:tc>
          <w:tcPr>
            <w:tcW w:w="4174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370567">
        <w:tc>
          <w:tcPr>
            <w:tcW w:w="1730" w:type="dxa"/>
          </w:tcPr>
          <w:p w:rsidR="00370567" w:rsidRDefault="00370567"/>
        </w:tc>
        <w:tc>
          <w:tcPr>
            <w:tcW w:w="4174" w:type="dxa"/>
          </w:tcPr>
          <w:p w:rsidR="00370567" w:rsidRDefault="000A21A6">
            <w:r>
              <w:rPr>
                <w:u w:val="single"/>
              </w:rPr>
              <w:t>Effettua il primo controllo</w:t>
            </w:r>
            <w:r>
              <w:t>: prescrizione del farmaco (scadenza, conservazione, se necessario leggere il foglio illustrativo per eventuali interazioni o incompatibilità)</w:t>
            </w:r>
          </w:p>
        </w:tc>
        <w:tc>
          <w:tcPr>
            <w:tcW w:w="1392" w:type="dxa"/>
          </w:tcPr>
          <w:p w:rsidR="00370567" w:rsidRDefault="00370567"/>
        </w:tc>
        <w:tc>
          <w:tcPr>
            <w:tcW w:w="1576" w:type="dxa"/>
          </w:tcPr>
          <w:p w:rsidR="00370567" w:rsidRDefault="00370567"/>
        </w:tc>
        <w:tc>
          <w:tcPr>
            <w:tcW w:w="876" w:type="dxa"/>
          </w:tcPr>
          <w:p w:rsidR="00370567" w:rsidRDefault="00370567"/>
        </w:tc>
      </w:tr>
      <w:tr w:rsidR="00370567">
        <w:tc>
          <w:tcPr>
            <w:tcW w:w="1730" w:type="dxa"/>
            <w:vMerge w:val="restart"/>
            <w:shd w:val="clear" w:color="auto" w:fill="D9E2F3"/>
          </w:tcPr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0A21A6">
            <w:pPr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Presentarsi, identificare la persona assistita ed informarla della terapia.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D9E2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Valutare il grado di collaborazione dell’assistito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D9E2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Accertare la presenza di allergie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D9E2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Verificare nome dell’assistito, dose, via ed ora di somministrazione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D9E2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Valutare le sedi ed il repere più idoneo alla somministrazione (quantità di farmaco,..)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D9E2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Effettuare il controllo locale per verificare che non siano presenti ematomi, infiammazione, algie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D9E2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D9E2F3"/>
          </w:tcPr>
          <w:p w:rsidR="00370567" w:rsidRDefault="000A21A6">
            <w:r>
              <w:t>Se il farmaco può influenzare i parametri vitali dell’assistito, questi vanno accertati prima della somministrazione</w:t>
            </w:r>
          </w:p>
        </w:tc>
        <w:tc>
          <w:tcPr>
            <w:tcW w:w="1392" w:type="dxa"/>
            <w:shd w:val="clear" w:color="auto" w:fill="D9E2F3"/>
          </w:tcPr>
          <w:p w:rsidR="00370567" w:rsidRDefault="00370567"/>
        </w:tc>
        <w:tc>
          <w:tcPr>
            <w:tcW w:w="1576" w:type="dxa"/>
            <w:shd w:val="clear" w:color="auto" w:fill="D9E2F3"/>
          </w:tcPr>
          <w:p w:rsidR="00370567" w:rsidRDefault="00370567"/>
        </w:tc>
        <w:tc>
          <w:tcPr>
            <w:tcW w:w="876" w:type="dxa"/>
            <w:shd w:val="clear" w:color="auto" w:fill="D9E2F3"/>
          </w:tcPr>
          <w:p w:rsidR="00370567" w:rsidRDefault="00370567"/>
        </w:tc>
      </w:tr>
      <w:tr w:rsidR="00370567">
        <w:tc>
          <w:tcPr>
            <w:tcW w:w="1730" w:type="dxa"/>
            <w:vMerge w:val="restart"/>
            <w:shd w:val="clear" w:color="auto" w:fill="E2EFD9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Preparare il materiale; carrello, prescrizione farmacologica, farmaco, siringhe, aghi, garze, soluzione antisettica,  gel per l’igiene delle mani, ago – box, contenitore dei rifiuti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0A21A6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 w:val="restart"/>
            <w:shd w:val="clear" w:color="auto" w:fill="FBE5D5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174" w:type="dxa"/>
            <w:shd w:val="clear" w:color="auto" w:fill="FBE5D5"/>
          </w:tcPr>
          <w:p w:rsidR="00370567" w:rsidRDefault="000A21A6">
            <w:r>
              <w:t>Eseguire l’igiene delle mani</w:t>
            </w:r>
          </w:p>
          <w:p w:rsidR="00370567" w:rsidRDefault="00370567"/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BE5D5"/>
          </w:tcPr>
          <w:p w:rsidR="00370567" w:rsidRDefault="000A21A6">
            <w:r>
              <w:t>Utilizzo dei DPI se necessario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tcBorders>
              <w:bottom w:val="nil"/>
            </w:tcBorders>
            <w:shd w:val="clear" w:color="auto" w:fill="FBE5D5"/>
          </w:tcPr>
          <w:p w:rsidR="00370567" w:rsidRDefault="000A21A6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370567" w:rsidRDefault="00370567"/>
        </w:tc>
      </w:tr>
      <w:tr w:rsidR="00370567">
        <w:tc>
          <w:tcPr>
            <w:tcW w:w="1730" w:type="dxa"/>
            <w:vMerge w:val="restart"/>
            <w:shd w:val="clear" w:color="auto" w:fill="E2EFD9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370567">
            <w:pPr>
              <w:jc w:val="center"/>
              <w:rPr>
                <w:b/>
              </w:rPr>
            </w:pPr>
          </w:p>
          <w:p w:rsidR="00370567" w:rsidRDefault="00370567">
            <w:pPr>
              <w:jc w:val="center"/>
              <w:rPr>
                <w:b/>
              </w:rPr>
            </w:pPr>
          </w:p>
          <w:p w:rsidR="00370567" w:rsidRDefault="00370567">
            <w:pPr>
              <w:jc w:val="center"/>
              <w:rPr>
                <w:b/>
              </w:rPr>
            </w:pPr>
          </w:p>
          <w:p w:rsidR="00370567" w:rsidRDefault="00370567">
            <w:pPr>
              <w:jc w:val="center"/>
              <w:rPr>
                <w:b/>
              </w:rPr>
            </w:pPr>
          </w:p>
          <w:p w:rsidR="00370567" w:rsidRDefault="00370567">
            <w:pPr>
              <w:jc w:val="center"/>
              <w:rPr>
                <w:b/>
              </w:rPr>
            </w:pPr>
          </w:p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Apre la confezione del farmaco e verifica l’integrità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rPr>
          <w:trHeight w:val="798"/>
        </w:trPr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Apre la confezione della siringa (assembla siringa ed ago se necessario), garantendo la non contaminazione ( ! scelta siringa adeguata al volume)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 xml:space="preserve">Se il farmaco deve essere ricostituito: valutare la scelta del calibro dell’ago usato per aspirare, disinfezione dell’elastomero e l’uso del soluto/soluzione. Rispettare i </w:t>
            </w:r>
            <w:r>
              <w:lastRenderedPageBreak/>
              <w:t>tempi di miscelazione del farmaco (! schiuma)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Se il farmaco è contenuto in una fiala: Introdurre l’ago senza toccare la parte esterna della fiala ed aspirare il farmaco completamente</w:t>
            </w:r>
          </w:p>
          <w:p w:rsidR="00370567" w:rsidRDefault="00370567"/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Sostituire l’ago della siringa, e valutare il calibro dell’ago idoneo al paziente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Predisporre un tampone imbevuto di antisettico ed una garza asciutta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pPr>
              <w:rPr>
                <w:color w:val="FF0000"/>
              </w:rPr>
            </w:pPr>
            <w:r>
              <w:t>Esegue l’antisepsi della cute con movimento circolare dal centro verso l’esterno, attende il c</w:t>
            </w:r>
            <w:r>
              <w:rPr>
                <w:color w:val="FF0000"/>
              </w:rPr>
              <w:t>ompleto assorbimento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370567"/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Tende la cute introducendo l’ago con movimento leggero ma deciso, con angolazione di 90° oppure utilizza la tecnica a “Z”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Se la sede prescelta è la dorso-glutea, esecuzione corretta della manovra di Lesser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Somministra il farmaco lentamente ( minimo 5 secondi)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Estrae l’ago, tampona per qualche secondo con una garza asciutta senza massaggiare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E2EFD9"/>
          </w:tcPr>
          <w:p w:rsidR="00370567" w:rsidRDefault="000A21A6">
            <w:r>
              <w:t>Elimina l’ago nell’apposito contenitore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>
        <w:tc>
          <w:tcPr>
            <w:tcW w:w="1730" w:type="dxa"/>
            <w:vMerge w:val="restart"/>
            <w:shd w:val="clear" w:color="auto" w:fill="F9DFF3"/>
          </w:tcPr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370567">
            <w:pPr>
              <w:rPr>
                <w:b/>
              </w:rPr>
            </w:pPr>
          </w:p>
          <w:p w:rsidR="00370567" w:rsidRDefault="000A21A6">
            <w:pPr>
              <w:rPr>
                <w:b/>
              </w:rPr>
            </w:pPr>
            <w:r>
              <w:rPr>
                <w:b/>
              </w:rPr>
              <w:t>FASE FINALE</w:t>
            </w:r>
          </w:p>
        </w:tc>
        <w:tc>
          <w:tcPr>
            <w:tcW w:w="4174" w:type="dxa"/>
            <w:shd w:val="clear" w:color="auto" w:fill="F9DFF3"/>
          </w:tcPr>
          <w:p w:rsidR="00370567" w:rsidRDefault="000A21A6">
            <w:r>
              <w:t>Ricopre l’assistito e gli fa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370567" w:rsidRDefault="000A21A6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370567" w:rsidRDefault="000A21A6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370567" w:rsidRDefault="000A21A6">
            <w:r>
              <w:t>Registra l’avvenuta somministrazione nel foglio unico di terapia (FUT)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  <w:tr w:rsidR="00370567">
        <w:tc>
          <w:tcPr>
            <w:tcW w:w="1730" w:type="dxa"/>
            <w:vMerge/>
            <w:shd w:val="clear" w:color="auto" w:fill="F9DFF3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74" w:type="dxa"/>
            <w:shd w:val="clear" w:color="auto" w:fill="F9DFF3"/>
          </w:tcPr>
          <w:p w:rsidR="00370567" w:rsidRDefault="000A21A6">
            <w:r>
              <w:t>Controlla l’assistito e rileva la comparsa di eventuali eventi avversi.</w:t>
            </w:r>
          </w:p>
        </w:tc>
        <w:tc>
          <w:tcPr>
            <w:tcW w:w="1392" w:type="dxa"/>
            <w:shd w:val="clear" w:color="auto" w:fill="F9DFF3"/>
          </w:tcPr>
          <w:p w:rsidR="00370567" w:rsidRDefault="00370567"/>
        </w:tc>
        <w:tc>
          <w:tcPr>
            <w:tcW w:w="1576" w:type="dxa"/>
            <w:shd w:val="clear" w:color="auto" w:fill="F9DFF3"/>
          </w:tcPr>
          <w:p w:rsidR="00370567" w:rsidRDefault="00370567"/>
        </w:tc>
        <w:tc>
          <w:tcPr>
            <w:tcW w:w="876" w:type="dxa"/>
            <w:shd w:val="clear" w:color="auto" w:fill="F9DFF3"/>
          </w:tcPr>
          <w:p w:rsidR="00370567" w:rsidRDefault="00370567"/>
        </w:tc>
      </w:tr>
    </w:tbl>
    <w:p w:rsidR="00370567" w:rsidRDefault="00370567"/>
    <w:p w:rsidR="00370567" w:rsidRDefault="00370567"/>
    <w:sectPr w:rsidR="00370567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1A6">
      <w:pPr>
        <w:spacing w:after="0" w:line="240" w:lineRule="auto"/>
      </w:pPr>
      <w:r>
        <w:separator/>
      </w:r>
    </w:p>
  </w:endnote>
  <w:endnote w:type="continuationSeparator" w:id="0">
    <w:p w:rsidR="00000000" w:rsidRDefault="000A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1A6">
      <w:pPr>
        <w:spacing w:after="0" w:line="240" w:lineRule="auto"/>
      </w:pPr>
      <w:r>
        <w:separator/>
      </w:r>
    </w:p>
  </w:footnote>
  <w:footnote w:type="continuationSeparator" w:id="0">
    <w:p w:rsidR="00000000" w:rsidRDefault="000A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370567" w:rsidRDefault="003705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3AF"/>
    <w:multiLevelType w:val="multilevel"/>
    <w:tmpl w:val="3D52BC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7"/>
    <w:rsid w:val="000A21A6"/>
    <w:rsid w:val="003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85D56-6269-41C8-8B57-27583E5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CC2ED-3EF1-4EB6-AF63-958C1090E5FE}"/>
</file>

<file path=customXml/itemProps2.xml><?xml version="1.0" encoding="utf-8"?>
<ds:datastoreItem xmlns:ds="http://schemas.openxmlformats.org/officeDocument/2006/customXml" ds:itemID="{6C24628C-3D65-4B0E-874A-FE0DE9C77A09}"/>
</file>

<file path=customXml/itemProps3.xml><?xml version="1.0" encoding="utf-8"?>
<ds:datastoreItem xmlns:ds="http://schemas.openxmlformats.org/officeDocument/2006/customXml" ds:itemID="{4719DE76-5ADC-4E55-AAB6-5AA8983CD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CALIA ELENA</dc:creator>
  <cp:lastModifiedBy>CALIA ELENA</cp:lastModifiedBy>
  <cp:revision>2</cp:revision>
  <dcterms:created xsi:type="dcterms:W3CDTF">2023-11-23T07:54:00Z</dcterms:created>
  <dcterms:modified xsi:type="dcterms:W3CDTF">2023-11-23T07:54:00Z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