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03" w:rsidRDefault="00DB21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4174"/>
        <w:gridCol w:w="1392"/>
        <w:gridCol w:w="1576"/>
        <w:gridCol w:w="876"/>
      </w:tblGrid>
      <w:tr w:rsidR="00DB2103">
        <w:tc>
          <w:tcPr>
            <w:tcW w:w="9748" w:type="dxa"/>
            <w:gridSpan w:val="5"/>
          </w:tcPr>
          <w:p w:rsidR="00DB2103" w:rsidRDefault="00C36FDA">
            <w:pPr>
              <w:jc w:val="center"/>
              <w:rPr>
                <w:b/>
              </w:rPr>
            </w:pPr>
            <w:r>
              <w:rPr>
                <w:b/>
              </w:rPr>
              <w:t>LABORATORIO 2° ANNO: SOMMINISTRAZIONE DEI FARMACI PER VIA SOTTOCUTANEA</w:t>
            </w:r>
          </w:p>
        </w:tc>
      </w:tr>
      <w:tr w:rsidR="00DB2103">
        <w:tc>
          <w:tcPr>
            <w:tcW w:w="9748" w:type="dxa"/>
            <w:gridSpan w:val="5"/>
          </w:tcPr>
          <w:p w:rsidR="00DB2103" w:rsidRDefault="00C36FDA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OBIETTIVI</w:t>
            </w:r>
          </w:p>
          <w:p w:rsidR="00DB2103" w:rsidRDefault="00C36FDA">
            <w:r>
              <w:t>Lo studente al termine del laboratorio deve essere in grado di:</w:t>
            </w:r>
          </w:p>
          <w:p w:rsidR="00DB2103" w:rsidRDefault="00C36F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Saper individuare le sedi idonee</w:t>
            </w:r>
          </w:p>
          <w:p w:rsidR="00DB2103" w:rsidRDefault="00C36F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Somministrare in sicurezza il farmaco per via sottocutanea</w:t>
            </w:r>
          </w:p>
          <w:p w:rsidR="00DB2103" w:rsidRDefault="00C36F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Tempo previsto per la procedura 15 Minuti</w:t>
            </w:r>
          </w:p>
          <w:p w:rsidR="00DB2103" w:rsidRDefault="00DB2103">
            <w:pPr>
              <w:rPr>
                <w:color w:val="FF0000"/>
              </w:rPr>
            </w:pPr>
          </w:p>
        </w:tc>
      </w:tr>
      <w:tr w:rsidR="00DB2103">
        <w:tc>
          <w:tcPr>
            <w:tcW w:w="1730" w:type="dxa"/>
            <w:shd w:val="clear" w:color="auto" w:fill="FFD965"/>
          </w:tcPr>
          <w:p w:rsidR="00DB2103" w:rsidRDefault="00DB2103"/>
        </w:tc>
        <w:tc>
          <w:tcPr>
            <w:tcW w:w="4174" w:type="dxa"/>
            <w:shd w:val="clear" w:color="auto" w:fill="FFD965"/>
          </w:tcPr>
          <w:p w:rsidR="00DB2103" w:rsidRDefault="00C36FDA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DB2103" w:rsidRDefault="00C36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DB2103" w:rsidRDefault="00C36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DB2103" w:rsidRDefault="00C36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DB2103">
        <w:tc>
          <w:tcPr>
            <w:tcW w:w="1730" w:type="dxa"/>
          </w:tcPr>
          <w:p w:rsidR="00DB2103" w:rsidRDefault="00DB2103"/>
        </w:tc>
        <w:tc>
          <w:tcPr>
            <w:tcW w:w="4174" w:type="dxa"/>
          </w:tcPr>
          <w:p w:rsidR="00DB2103" w:rsidRDefault="00C36FDA">
            <w:r>
              <w:rPr>
                <w:u w:val="single"/>
              </w:rPr>
              <w:t>Effettua il primo controllo</w:t>
            </w:r>
            <w:r>
              <w:t>: prescrizione del farmaco (scadenza, conservazione, se necessario leggere il foglio illustrativo per eventuali interazioni o incompatibilità)</w:t>
            </w:r>
          </w:p>
        </w:tc>
        <w:tc>
          <w:tcPr>
            <w:tcW w:w="1392" w:type="dxa"/>
          </w:tcPr>
          <w:p w:rsidR="00DB2103" w:rsidRDefault="00DB2103"/>
        </w:tc>
        <w:tc>
          <w:tcPr>
            <w:tcW w:w="1576" w:type="dxa"/>
          </w:tcPr>
          <w:p w:rsidR="00DB2103" w:rsidRDefault="00DB2103"/>
        </w:tc>
        <w:tc>
          <w:tcPr>
            <w:tcW w:w="876" w:type="dxa"/>
          </w:tcPr>
          <w:p w:rsidR="00DB2103" w:rsidRDefault="00DB2103"/>
        </w:tc>
      </w:tr>
      <w:tr w:rsidR="00DB2103">
        <w:tc>
          <w:tcPr>
            <w:tcW w:w="1730" w:type="dxa"/>
            <w:vMerge w:val="restart"/>
            <w:shd w:val="clear" w:color="auto" w:fill="D9E2F3"/>
          </w:tcPr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C36FDA">
            <w:pPr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Presentarsi, identificare la persona assistita ed informarla della terapia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D9E2F3"/>
          </w:tcPr>
          <w:p w:rsidR="00DB2103" w:rsidRDefault="00DB2103">
            <w:pPr>
              <w:rPr>
                <w:b/>
              </w:rPr>
            </w:pP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Accertare la presenza di allergie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D9E2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Valutare l’appropriatezza della terapia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D9E2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Verificare nome dell’assistito, dose, via ed ora di somministrazione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D9E2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Valutare le sedi per poter effettuare l’iniezione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D9E2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DB2103" w:rsidRDefault="00C36FDA">
            <w:r>
              <w:t>Effettuare il controllo locale per verificare che non siano presenti ematomi, infiammazione, algie</w:t>
            </w:r>
          </w:p>
        </w:tc>
        <w:tc>
          <w:tcPr>
            <w:tcW w:w="1392" w:type="dxa"/>
            <w:shd w:val="clear" w:color="auto" w:fill="D9E2F3"/>
          </w:tcPr>
          <w:p w:rsidR="00DB2103" w:rsidRDefault="00DB2103"/>
        </w:tc>
        <w:tc>
          <w:tcPr>
            <w:tcW w:w="1576" w:type="dxa"/>
            <w:shd w:val="clear" w:color="auto" w:fill="D9E2F3"/>
          </w:tcPr>
          <w:p w:rsidR="00DB2103" w:rsidRDefault="00DB2103"/>
        </w:tc>
        <w:tc>
          <w:tcPr>
            <w:tcW w:w="876" w:type="dxa"/>
            <w:shd w:val="clear" w:color="auto" w:fill="D9E2F3"/>
          </w:tcPr>
          <w:p w:rsidR="00DB2103" w:rsidRDefault="00DB2103"/>
        </w:tc>
      </w:tr>
      <w:tr w:rsidR="00DB2103">
        <w:tc>
          <w:tcPr>
            <w:tcW w:w="1730" w:type="dxa"/>
            <w:vMerge w:val="restart"/>
            <w:shd w:val="clear" w:color="auto" w:fill="E2EFD9"/>
          </w:tcPr>
          <w:p w:rsidR="00DB2103" w:rsidRDefault="00DB2103">
            <w:pPr>
              <w:jc w:val="center"/>
              <w:rPr>
                <w:b/>
              </w:rPr>
            </w:pPr>
          </w:p>
          <w:p w:rsidR="00DB2103" w:rsidRDefault="00C36FDA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Preparare il materiale; carrello, prescrizione farmacologica, farmaco, siringhe, aghi, arcelle, garze, soluzione antis</w:t>
            </w:r>
            <w:r>
              <w:t>ettica,  gel per l’igiene delle mani, ago – box, contenitore dei rifiuti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bottom w:val="single" w:sz="4" w:space="0" w:color="000000"/>
            </w:tcBorders>
            <w:shd w:val="clear" w:color="auto" w:fill="E2EFD9"/>
          </w:tcPr>
          <w:p w:rsidR="00DB2103" w:rsidRDefault="00C36FDA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DB2103" w:rsidRDefault="00DB2103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DB2103" w:rsidRDefault="00DB2103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 w:val="restart"/>
            <w:shd w:val="clear" w:color="auto" w:fill="FBE5D5"/>
          </w:tcPr>
          <w:p w:rsidR="00DB2103" w:rsidRDefault="00DB2103">
            <w:pPr>
              <w:jc w:val="center"/>
              <w:rPr>
                <w:b/>
              </w:rPr>
            </w:pPr>
          </w:p>
          <w:p w:rsidR="00DB2103" w:rsidRDefault="00C36FDA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174" w:type="dxa"/>
            <w:shd w:val="clear" w:color="auto" w:fill="FBE5D5"/>
          </w:tcPr>
          <w:p w:rsidR="00DB2103" w:rsidRDefault="00C36FDA">
            <w:r>
              <w:t>Eseguire l’igiene delle mani</w:t>
            </w:r>
          </w:p>
          <w:p w:rsidR="00DB2103" w:rsidRDefault="00DB2103"/>
        </w:tc>
        <w:tc>
          <w:tcPr>
            <w:tcW w:w="1392" w:type="dxa"/>
            <w:shd w:val="clear" w:color="auto" w:fill="FBE5D5"/>
          </w:tcPr>
          <w:p w:rsidR="00DB2103" w:rsidRDefault="00DB2103"/>
        </w:tc>
        <w:tc>
          <w:tcPr>
            <w:tcW w:w="1576" w:type="dxa"/>
            <w:shd w:val="clear" w:color="auto" w:fill="FBE5D5"/>
          </w:tcPr>
          <w:p w:rsidR="00DB2103" w:rsidRDefault="00DB2103"/>
        </w:tc>
        <w:tc>
          <w:tcPr>
            <w:tcW w:w="876" w:type="dxa"/>
            <w:shd w:val="clear" w:color="auto" w:fill="FBE5D5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BE5D5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BE5D5"/>
          </w:tcPr>
          <w:p w:rsidR="00DB2103" w:rsidRDefault="00C36FDA">
            <w:r>
              <w:t>Utilizzo dei DPI se necessario</w:t>
            </w:r>
          </w:p>
        </w:tc>
        <w:tc>
          <w:tcPr>
            <w:tcW w:w="1392" w:type="dxa"/>
            <w:shd w:val="clear" w:color="auto" w:fill="FBE5D5"/>
          </w:tcPr>
          <w:p w:rsidR="00DB2103" w:rsidRDefault="00DB2103"/>
        </w:tc>
        <w:tc>
          <w:tcPr>
            <w:tcW w:w="1576" w:type="dxa"/>
            <w:shd w:val="clear" w:color="auto" w:fill="FBE5D5"/>
          </w:tcPr>
          <w:p w:rsidR="00DB2103" w:rsidRDefault="00DB2103"/>
        </w:tc>
        <w:tc>
          <w:tcPr>
            <w:tcW w:w="876" w:type="dxa"/>
            <w:shd w:val="clear" w:color="auto" w:fill="FBE5D5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BE5D5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bottom w:val="nil"/>
            </w:tcBorders>
            <w:shd w:val="clear" w:color="auto" w:fill="FBE5D5"/>
          </w:tcPr>
          <w:p w:rsidR="00DB2103" w:rsidRDefault="00C36FDA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DB2103" w:rsidRDefault="00DB2103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DB2103" w:rsidRDefault="00DB2103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BE5D5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top w:val="nil"/>
            </w:tcBorders>
            <w:shd w:val="clear" w:color="auto" w:fill="FBE5D5"/>
          </w:tcPr>
          <w:p w:rsidR="00DB2103" w:rsidRDefault="00DB2103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DB2103" w:rsidRDefault="00DB2103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DB2103" w:rsidRDefault="00DB2103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DB2103" w:rsidRDefault="00DB2103"/>
        </w:tc>
      </w:tr>
      <w:tr w:rsidR="00DB2103">
        <w:tc>
          <w:tcPr>
            <w:tcW w:w="1730" w:type="dxa"/>
            <w:vMerge w:val="restart"/>
            <w:shd w:val="clear" w:color="auto" w:fill="E2EFD9"/>
          </w:tcPr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DB2103">
            <w:pPr>
              <w:jc w:val="center"/>
              <w:rPr>
                <w:b/>
              </w:rPr>
            </w:pPr>
          </w:p>
          <w:p w:rsidR="00DB2103" w:rsidRDefault="00C36FDA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174" w:type="dxa"/>
            <w:shd w:val="clear" w:color="auto" w:fill="E2EFD9"/>
          </w:tcPr>
          <w:p w:rsidR="00DB2103" w:rsidRDefault="00C36FDA">
            <w:pPr>
              <w:rPr>
                <w:b/>
              </w:rPr>
            </w:pPr>
            <w:r>
              <w:rPr>
                <w:b/>
              </w:rPr>
              <w:t>Verificare l’integrità del farmaco                     (flaconcino, penna, siringa pre-riempita), verifica la modalità di conservazione, tempi dall’apertura)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pPr>
              <w:rPr>
                <w:b/>
              </w:rPr>
            </w:pPr>
            <w:r>
              <w:rPr>
                <w:b/>
              </w:rPr>
              <w:t xml:space="preserve">Apre la confezione (se necessario assembla siringa ed ago), 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rPr>
                <w:u w:val="single"/>
              </w:rPr>
              <w:t>Insulina flacone</w:t>
            </w:r>
            <w:r>
              <w:t xml:space="preserve"> </w:t>
            </w:r>
            <w:r>
              <w:t>🡪</w:t>
            </w:r>
            <w:r>
              <w:t xml:space="preserve"> passa un tampone imbevuto di disinfettante sull’elastomero, aspirare le unità necessarie. Sostituisce l’ago prima della somministrazione</w:t>
            </w:r>
          </w:p>
          <w:p w:rsidR="00DB2103" w:rsidRDefault="00DB2103"/>
          <w:p w:rsidR="00DB2103" w:rsidRDefault="00C36FDA">
            <w:r>
              <w:rPr>
                <w:u w:val="single"/>
              </w:rPr>
              <w:t>Insulina penna</w:t>
            </w:r>
            <w:r>
              <w:t>🡪</w:t>
            </w:r>
            <w:r>
              <w:t xml:space="preserve"> Esegue il controllo (prescrizione/farmaco/assistito/scadenza), </w:t>
            </w:r>
            <w:r>
              <w:lastRenderedPageBreak/>
              <w:t>raccorda l’ago e c</w:t>
            </w:r>
            <w:r>
              <w:t>arica/scarica 2UI, poi seleziona le unità da somministrare</w:t>
            </w:r>
          </w:p>
          <w:p w:rsidR="00DB2103" w:rsidRDefault="00DB2103"/>
          <w:p w:rsidR="00DB2103" w:rsidRDefault="00C36FDA">
            <w:r>
              <w:rPr>
                <w:u w:val="single"/>
              </w:rPr>
              <w:t>Eparina</w:t>
            </w:r>
            <w:r>
              <w:rPr>
                <w:u w:val="single"/>
              </w:rPr>
              <w:t>🡪</w:t>
            </w:r>
            <w:r>
              <w:t xml:space="preserve">siringa pre-riempita, non espellere la bolla d’aria </w:t>
            </w:r>
          </w:p>
          <w:p w:rsidR="00DB2103" w:rsidRDefault="00DB2103"/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 xml:space="preserve">Individua la zona dove si intende eseguire l’iniezione, applica la regola della rotazione del sito. 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Ispeziona e palpa la sede prescelta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pPr>
              <w:rPr>
                <w:color w:val="FF0000"/>
              </w:rPr>
            </w:pPr>
            <w:r>
              <w:t>Predisporre un tampone imbevuto di antisettico ed una garza asciutta ed esegue l’antisepsi della cute con movimento circolare dal centro verso l’esterno. A</w:t>
            </w:r>
            <w:r>
              <w:rPr>
                <w:color w:val="FF0000"/>
              </w:rPr>
              <w:t>ttende il tempo di asciugatura.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Forma una plica cutanea tra indice e pollice (la plica va mantenuta durante la somministrazione). Plica non necessaria se usa aghi lunghi 4 mm ( vedi penna insulinica)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Inserisce rapidamente l’ago con una angolatura tra 45°- 90° rispetto il piano cutan</w:t>
            </w:r>
            <w:r>
              <w:t>eo in base allo spessore del tessuto sottocutaneo a alla lunghezza dell’ago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Inietta il farmaco lentamente, attende 5-10 secondi prima di estrarre l’ago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E2EFD9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DB2103" w:rsidRDefault="00C36FDA">
            <w:r>
              <w:t>Tampona per qualche secondo con una garza asciutta sul sito di iniezione, senza massaggiare</w:t>
            </w:r>
          </w:p>
        </w:tc>
        <w:tc>
          <w:tcPr>
            <w:tcW w:w="1392" w:type="dxa"/>
            <w:shd w:val="clear" w:color="auto" w:fill="E2EFD9"/>
          </w:tcPr>
          <w:p w:rsidR="00DB2103" w:rsidRDefault="00DB2103"/>
        </w:tc>
        <w:tc>
          <w:tcPr>
            <w:tcW w:w="1576" w:type="dxa"/>
            <w:shd w:val="clear" w:color="auto" w:fill="E2EFD9"/>
          </w:tcPr>
          <w:p w:rsidR="00DB2103" w:rsidRDefault="00DB2103"/>
        </w:tc>
        <w:tc>
          <w:tcPr>
            <w:tcW w:w="876" w:type="dxa"/>
            <w:shd w:val="clear" w:color="auto" w:fill="E2EFD9"/>
          </w:tcPr>
          <w:p w:rsidR="00DB2103" w:rsidRDefault="00DB2103"/>
        </w:tc>
      </w:tr>
      <w:tr w:rsidR="00DB2103">
        <w:tc>
          <w:tcPr>
            <w:tcW w:w="1730" w:type="dxa"/>
            <w:vMerge w:val="restart"/>
            <w:shd w:val="clear" w:color="auto" w:fill="F9DFF3"/>
          </w:tcPr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DB2103">
            <w:pPr>
              <w:rPr>
                <w:b/>
              </w:rPr>
            </w:pPr>
          </w:p>
          <w:p w:rsidR="00DB2103" w:rsidRDefault="00C36FDA">
            <w:pPr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174" w:type="dxa"/>
            <w:shd w:val="clear" w:color="auto" w:fill="F9DFF3"/>
          </w:tcPr>
          <w:p w:rsidR="00DB2103" w:rsidRDefault="00C36FDA">
            <w:r>
              <w:t>Ricopre l’assistito e gli fa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DB2103" w:rsidRDefault="00DB2103"/>
        </w:tc>
        <w:tc>
          <w:tcPr>
            <w:tcW w:w="1576" w:type="dxa"/>
            <w:shd w:val="clear" w:color="auto" w:fill="F9DFF3"/>
          </w:tcPr>
          <w:p w:rsidR="00DB2103" w:rsidRDefault="00DB2103"/>
        </w:tc>
        <w:tc>
          <w:tcPr>
            <w:tcW w:w="876" w:type="dxa"/>
            <w:shd w:val="clear" w:color="auto" w:fill="F9DF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9DF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DB2103" w:rsidRDefault="00C36FDA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DB2103" w:rsidRDefault="00DB2103"/>
        </w:tc>
        <w:tc>
          <w:tcPr>
            <w:tcW w:w="1576" w:type="dxa"/>
            <w:shd w:val="clear" w:color="auto" w:fill="F9DFF3"/>
          </w:tcPr>
          <w:p w:rsidR="00DB2103" w:rsidRDefault="00DB2103"/>
        </w:tc>
        <w:tc>
          <w:tcPr>
            <w:tcW w:w="876" w:type="dxa"/>
            <w:shd w:val="clear" w:color="auto" w:fill="F9DF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9DF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DB2103" w:rsidRDefault="00C36FDA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DB2103" w:rsidRDefault="00DB2103"/>
        </w:tc>
        <w:tc>
          <w:tcPr>
            <w:tcW w:w="1576" w:type="dxa"/>
            <w:shd w:val="clear" w:color="auto" w:fill="F9DFF3"/>
          </w:tcPr>
          <w:p w:rsidR="00DB2103" w:rsidRDefault="00DB2103"/>
        </w:tc>
        <w:tc>
          <w:tcPr>
            <w:tcW w:w="876" w:type="dxa"/>
            <w:shd w:val="clear" w:color="auto" w:fill="F9DF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9DF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DB2103" w:rsidRDefault="00C36FDA">
            <w:r>
              <w:t>Registra l’avvenuta somministrazione nel foglio unico di terapia (FUT)</w:t>
            </w:r>
          </w:p>
        </w:tc>
        <w:tc>
          <w:tcPr>
            <w:tcW w:w="1392" w:type="dxa"/>
            <w:shd w:val="clear" w:color="auto" w:fill="F9DFF3"/>
          </w:tcPr>
          <w:p w:rsidR="00DB2103" w:rsidRDefault="00DB2103"/>
        </w:tc>
        <w:tc>
          <w:tcPr>
            <w:tcW w:w="1576" w:type="dxa"/>
            <w:shd w:val="clear" w:color="auto" w:fill="F9DFF3"/>
          </w:tcPr>
          <w:p w:rsidR="00DB2103" w:rsidRDefault="00DB2103"/>
        </w:tc>
        <w:tc>
          <w:tcPr>
            <w:tcW w:w="876" w:type="dxa"/>
            <w:shd w:val="clear" w:color="auto" w:fill="F9DFF3"/>
          </w:tcPr>
          <w:p w:rsidR="00DB2103" w:rsidRDefault="00DB2103"/>
        </w:tc>
      </w:tr>
      <w:tr w:rsidR="00DB2103">
        <w:tc>
          <w:tcPr>
            <w:tcW w:w="1730" w:type="dxa"/>
            <w:vMerge/>
            <w:shd w:val="clear" w:color="auto" w:fill="F9DFF3"/>
          </w:tcPr>
          <w:p w:rsidR="00DB2103" w:rsidRDefault="00D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DB2103" w:rsidRDefault="00C36FDA">
            <w:r>
              <w:t>Controlla l’assistito e rileva la comparsa di eventuali eventi avversi.</w:t>
            </w:r>
          </w:p>
        </w:tc>
        <w:tc>
          <w:tcPr>
            <w:tcW w:w="1392" w:type="dxa"/>
            <w:shd w:val="clear" w:color="auto" w:fill="F9DFF3"/>
          </w:tcPr>
          <w:p w:rsidR="00DB2103" w:rsidRDefault="00DB2103"/>
        </w:tc>
        <w:tc>
          <w:tcPr>
            <w:tcW w:w="1576" w:type="dxa"/>
            <w:shd w:val="clear" w:color="auto" w:fill="F9DFF3"/>
          </w:tcPr>
          <w:p w:rsidR="00DB2103" w:rsidRDefault="00DB2103"/>
        </w:tc>
        <w:tc>
          <w:tcPr>
            <w:tcW w:w="876" w:type="dxa"/>
            <w:shd w:val="clear" w:color="auto" w:fill="F9DFF3"/>
          </w:tcPr>
          <w:p w:rsidR="00DB2103" w:rsidRDefault="00DB2103"/>
        </w:tc>
      </w:tr>
    </w:tbl>
    <w:p w:rsidR="00DB2103" w:rsidRDefault="00DB2103">
      <w:pPr>
        <w:rPr>
          <w:b/>
        </w:rPr>
      </w:pPr>
    </w:p>
    <w:p w:rsidR="00DB2103" w:rsidRDefault="00DB2103"/>
    <w:sectPr w:rsidR="00DB2103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6FDA">
      <w:pPr>
        <w:spacing w:after="0" w:line="240" w:lineRule="auto"/>
      </w:pPr>
      <w:r>
        <w:separator/>
      </w:r>
    </w:p>
  </w:endnote>
  <w:endnote w:type="continuationSeparator" w:id="0">
    <w:p w:rsidR="00000000" w:rsidRDefault="00C3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6FDA">
      <w:pPr>
        <w:spacing w:after="0" w:line="240" w:lineRule="auto"/>
      </w:pPr>
      <w:r>
        <w:separator/>
      </w:r>
    </w:p>
  </w:footnote>
  <w:footnote w:type="continuationSeparator" w:id="0">
    <w:p w:rsidR="00000000" w:rsidRDefault="00C3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03" w:rsidRDefault="00C36F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DB2103" w:rsidRDefault="00C36F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DB2103" w:rsidRDefault="00DB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B60C9"/>
    <w:multiLevelType w:val="multilevel"/>
    <w:tmpl w:val="72E6840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03"/>
    <w:rsid w:val="00C36FDA"/>
    <w:rsid w:val="00D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48B7A-8845-44E1-A1FB-C888C497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56A"/>
  </w:style>
  <w:style w:type="paragraph" w:styleId="Pidipagina">
    <w:name w:val="footer"/>
    <w:basedOn w:val="Normale"/>
    <w:link w:val="Pidipagina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56A"/>
  </w:style>
  <w:style w:type="table" w:styleId="Grigliatabella">
    <w:name w:val="Table Grid"/>
    <w:basedOn w:val="Tabellanormale"/>
    <w:uiPriority w:val="39"/>
    <w:rsid w:val="00A4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56A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5PQwFWt5gNmKl5mAVTAJa4UFcA==">AMUW2mVod9vPHvQQoNREzvDrGmmKpRAVngh/Ll3PG3htvDy1ElyVUWpQ+bzVMCXO15GE7kzrrPjqoQXsd8GgdcOTYJXuIGPFXPWqC5tV/ptsD20qphPySFE=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9BD1EDD-4CC6-4450-9C63-99317FE21264}"/>
</file>

<file path=customXml/itemProps3.xml><?xml version="1.0" encoding="utf-8"?>
<ds:datastoreItem xmlns:ds="http://schemas.openxmlformats.org/officeDocument/2006/customXml" ds:itemID="{3E7B2137-0C91-48AA-9FD2-ABF04F2240C9}"/>
</file>

<file path=customXml/itemProps4.xml><?xml version="1.0" encoding="utf-8"?>
<ds:datastoreItem xmlns:ds="http://schemas.openxmlformats.org/officeDocument/2006/customXml" ds:itemID="{F98A2125-BA8A-458D-8BA8-76CA4F008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Calia</dc:creator>
  <cp:lastModifiedBy>CALIA ELENA</cp:lastModifiedBy>
  <cp:revision>2</cp:revision>
  <dcterms:created xsi:type="dcterms:W3CDTF">2023-11-23T07:54:00Z</dcterms:created>
  <dcterms:modified xsi:type="dcterms:W3CDTF">2023-11-23T07:54:00Z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