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9F4C" w14:textId="77777777" w:rsidR="00A22350" w:rsidRPr="00A22350" w:rsidRDefault="00A22350" w:rsidP="00A22350">
      <w:pPr>
        <w:jc w:val="both"/>
        <w:rPr>
          <w:rFonts w:ascii="Times New Roman" w:eastAsia="Times New Roman" w:hAnsi="Times New Roman" w:cs="Times New Roman"/>
          <w:kern w:val="0"/>
          <w:lang w:eastAsia="it-IT"/>
          <w14:ligatures w14:val="none"/>
        </w:rPr>
      </w:pPr>
      <w:r w:rsidRPr="00A22350">
        <w:rPr>
          <w:rFonts w:ascii="Times New Roman" w:eastAsia="Times New Roman" w:hAnsi="Times New Roman" w:cs="Times New Roman"/>
          <w:b/>
          <w:bCs/>
          <w:caps/>
          <w:color w:val="1E5192"/>
          <w:kern w:val="0"/>
          <w:lang w:eastAsia="it-IT"/>
          <w14:ligatures w14:val="none"/>
        </w:rPr>
        <w:br/>
        <w:t>IP, IT E DATA PROTECTION</w:t>
      </w:r>
    </w:p>
    <w:p w14:paraId="7B160E62" w14:textId="77777777" w:rsidR="00A22350" w:rsidRPr="00A22350" w:rsidRDefault="00A22350" w:rsidP="00A22350">
      <w:pPr>
        <w:spacing w:before="100" w:beforeAutospacing="1" w:after="100" w:afterAutospacing="1"/>
        <w:jc w:val="both"/>
        <w:outlineLvl w:val="0"/>
        <w:rPr>
          <w:rFonts w:ascii="Roboto Slab" w:eastAsia="Times New Roman" w:hAnsi="Roboto Slab" w:cs="Roboto Slab"/>
          <w:b/>
          <w:bCs/>
          <w:color w:val="0C0C0F"/>
          <w:kern w:val="36"/>
          <w:sz w:val="48"/>
          <w:szCs w:val="48"/>
          <w:lang w:eastAsia="it-IT"/>
          <w14:ligatures w14:val="none"/>
        </w:rPr>
      </w:pPr>
      <w:r w:rsidRPr="00A22350">
        <w:rPr>
          <w:rFonts w:ascii="Roboto Slab" w:eastAsia="Times New Roman" w:hAnsi="Roboto Slab" w:cs="Roboto Slab"/>
          <w:b/>
          <w:bCs/>
          <w:color w:val="0C0C0F"/>
          <w:kern w:val="36"/>
          <w:sz w:val="48"/>
          <w:szCs w:val="48"/>
          <w:lang w:eastAsia="it-IT"/>
          <w14:ligatures w14:val="none"/>
        </w:rPr>
        <w:t xml:space="preserve">Il </w:t>
      </w:r>
      <w:proofErr w:type="spellStart"/>
      <w:r w:rsidRPr="00A22350">
        <w:rPr>
          <w:rFonts w:ascii="Roboto Slab" w:eastAsia="Times New Roman" w:hAnsi="Roboto Slab" w:cs="Roboto Slab"/>
          <w:b/>
          <w:bCs/>
          <w:color w:val="0C0C0F"/>
          <w:kern w:val="36"/>
          <w:sz w:val="48"/>
          <w:szCs w:val="48"/>
          <w:lang w:eastAsia="it-IT"/>
          <w14:ligatures w14:val="none"/>
        </w:rPr>
        <w:t>ddl</w:t>
      </w:r>
      <w:proofErr w:type="spellEnd"/>
      <w:r w:rsidRPr="00A22350">
        <w:rPr>
          <w:rFonts w:ascii="Roboto Slab" w:eastAsia="Times New Roman" w:hAnsi="Roboto Slab" w:cs="Roboto Slab"/>
          <w:b/>
          <w:bCs/>
          <w:color w:val="0C0C0F"/>
          <w:kern w:val="36"/>
          <w:sz w:val="48"/>
          <w:szCs w:val="48"/>
          <w:lang w:eastAsia="it-IT"/>
          <w14:ligatures w14:val="none"/>
        </w:rPr>
        <w:t xml:space="preserve"> AI è legge: primi spunti di riflessione</w:t>
      </w:r>
    </w:p>
    <w:p w14:paraId="6C65BDD4" w14:textId="77777777" w:rsidR="00A22350" w:rsidRPr="00A22350" w:rsidRDefault="00A22350" w:rsidP="00A22350">
      <w:pPr>
        <w:jc w:val="both"/>
        <w:rPr>
          <w:rFonts w:ascii="Lato" w:eastAsia="Times New Roman" w:hAnsi="Lato" w:cs="Times New Roman"/>
          <w:b/>
          <w:bCs/>
          <w:color w:val="0C0C0F"/>
          <w:kern w:val="0"/>
          <w:lang w:eastAsia="it-IT"/>
          <w14:ligatures w14:val="none"/>
        </w:rPr>
      </w:pPr>
      <w:r w:rsidRPr="00A22350">
        <w:rPr>
          <w:rFonts w:ascii="Lato" w:eastAsia="Times New Roman" w:hAnsi="Lato" w:cs="Times New Roman"/>
          <w:b/>
          <w:bCs/>
          <w:color w:val="0C0C0F"/>
          <w:kern w:val="0"/>
          <w:lang w:eastAsia="it-IT"/>
          <w14:ligatures w14:val="none"/>
        </w:rPr>
        <w:t>Di </w:t>
      </w:r>
      <w:r w:rsidRPr="00A22350">
        <w:rPr>
          <w:rFonts w:ascii="Lato" w:eastAsia="Times New Roman" w:hAnsi="Lato" w:cs="Times New Roman"/>
          <w:b/>
          <w:bCs/>
          <w:color w:val="1E5192"/>
          <w:kern w:val="0"/>
          <w:lang w:eastAsia="it-IT"/>
          <w14:ligatures w14:val="none"/>
        </w:rPr>
        <w:t>Giorgio Resta</w:t>
      </w:r>
    </w:p>
    <w:p w14:paraId="16305B90" w14:textId="77777777" w:rsidR="00A22350" w:rsidRPr="00A22350" w:rsidRDefault="00A22350" w:rsidP="00A22350">
      <w:pPr>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Professore ordinario di diritto comparato presso l’Università di Roma Tre</w:t>
      </w:r>
    </w:p>
    <w:p w14:paraId="14857012" w14:textId="77777777" w:rsidR="00A22350" w:rsidRPr="00A22350" w:rsidRDefault="00A22350" w:rsidP="00A22350">
      <w:pPr>
        <w:jc w:val="both"/>
        <w:rPr>
          <w:rFonts w:ascii="Lato" w:eastAsia="Times New Roman" w:hAnsi="Lato" w:cs="Times New Roman"/>
          <w:b/>
          <w:bCs/>
          <w:color w:val="0C0C0F"/>
          <w:kern w:val="0"/>
          <w:lang w:eastAsia="it-IT"/>
          <w14:ligatures w14:val="none"/>
        </w:rPr>
      </w:pPr>
      <w:r w:rsidRPr="00A22350">
        <w:rPr>
          <w:rFonts w:ascii="Lato" w:eastAsia="Times New Roman" w:hAnsi="Lato" w:cs="Times New Roman"/>
          <w:b/>
          <w:bCs/>
          <w:color w:val="0C0C0F"/>
          <w:kern w:val="0"/>
          <w:lang w:eastAsia="it-IT"/>
          <w14:ligatures w14:val="none"/>
        </w:rPr>
        <w:t>Di </w:t>
      </w:r>
      <w:r w:rsidRPr="00A22350">
        <w:rPr>
          <w:rFonts w:ascii="Lato" w:eastAsia="Times New Roman" w:hAnsi="Lato" w:cs="Times New Roman"/>
          <w:b/>
          <w:bCs/>
          <w:color w:val="1E5192"/>
          <w:kern w:val="0"/>
          <w:lang w:eastAsia="it-IT"/>
          <w14:ligatures w14:val="none"/>
        </w:rPr>
        <w:t>Giovanni Maria Riccio</w:t>
      </w:r>
    </w:p>
    <w:p w14:paraId="5E292034" w14:textId="77777777" w:rsidR="00A22350" w:rsidRPr="00A22350" w:rsidRDefault="00A22350" w:rsidP="00A22350">
      <w:pPr>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Professore ordinario in diritto privato comparato presso l’Università di Salerno e Partner Studio Legale E-</w:t>
      </w:r>
      <w:proofErr w:type="spellStart"/>
      <w:r w:rsidRPr="00A22350">
        <w:rPr>
          <w:rFonts w:ascii="Lato" w:eastAsia="Times New Roman" w:hAnsi="Lato" w:cs="Times New Roman"/>
          <w:color w:val="0C0C0F"/>
          <w:kern w:val="0"/>
          <w:lang w:eastAsia="it-IT"/>
          <w14:ligatures w14:val="none"/>
        </w:rPr>
        <w:t>Lex</w:t>
      </w:r>
      <w:proofErr w:type="spellEnd"/>
      <w:r w:rsidRPr="00A22350">
        <w:rPr>
          <w:rFonts w:ascii="Lato" w:eastAsia="Times New Roman" w:hAnsi="Lato" w:cs="Times New Roman"/>
          <w:color w:val="0C0C0F"/>
          <w:kern w:val="0"/>
          <w:lang w:eastAsia="it-IT"/>
          <w14:ligatures w14:val="none"/>
        </w:rPr>
        <w:t xml:space="preserve"> – Roma</w:t>
      </w:r>
    </w:p>
    <w:p w14:paraId="2FBC0B25" w14:textId="77777777" w:rsidR="00A22350" w:rsidRPr="00A22350" w:rsidRDefault="00A22350" w:rsidP="00A22350">
      <w:pPr>
        <w:jc w:val="both"/>
        <w:rPr>
          <w:rFonts w:ascii="Lato" w:eastAsia="Times New Roman" w:hAnsi="Lato" w:cs="Times New Roman"/>
          <w:b/>
          <w:bCs/>
          <w:color w:val="0C0C0F"/>
          <w:kern w:val="0"/>
          <w:lang w:eastAsia="it-IT"/>
          <w14:ligatures w14:val="none"/>
        </w:rPr>
      </w:pPr>
      <w:r w:rsidRPr="00A22350">
        <w:rPr>
          <w:rFonts w:ascii="Lato" w:eastAsia="Times New Roman" w:hAnsi="Lato" w:cs="Times New Roman"/>
          <w:b/>
          <w:bCs/>
          <w:color w:val="0C0C0F"/>
          <w:kern w:val="0"/>
          <w:lang w:eastAsia="it-IT"/>
          <w14:ligatures w14:val="none"/>
        </w:rPr>
        <w:t>Di </w:t>
      </w:r>
      <w:r w:rsidRPr="00A22350">
        <w:rPr>
          <w:rFonts w:ascii="Lato" w:eastAsia="Times New Roman" w:hAnsi="Lato" w:cs="Times New Roman"/>
          <w:b/>
          <w:bCs/>
          <w:color w:val="1E5192"/>
          <w:kern w:val="0"/>
          <w:lang w:eastAsia="it-IT"/>
          <w14:ligatures w14:val="none"/>
        </w:rPr>
        <w:t>Giorgio Resta</w:t>
      </w:r>
    </w:p>
    <w:p w14:paraId="5C046554" w14:textId="77777777" w:rsidR="00A22350" w:rsidRPr="00A22350" w:rsidRDefault="00A22350" w:rsidP="00A22350">
      <w:pPr>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Professore ordinario di diritto comparato presso l’Università di Roma Tre</w:t>
      </w:r>
    </w:p>
    <w:p w14:paraId="14E23BE1" w14:textId="77777777" w:rsidR="00A22350" w:rsidRPr="00A22350" w:rsidRDefault="00A22350" w:rsidP="00A22350">
      <w:pPr>
        <w:jc w:val="both"/>
        <w:rPr>
          <w:rFonts w:ascii="Lato" w:eastAsia="Times New Roman" w:hAnsi="Lato" w:cs="Times New Roman"/>
          <w:b/>
          <w:bCs/>
          <w:color w:val="0C0C0F"/>
          <w:kern w:val="0"/>
          <w:lang w:eastAsia="it-IT"/>
          <w14:ligatures w14:val="none"/>
        </w:rPr>
      </w:pPr>
      <w:r w:rsidRPr="00A22350">
        <w:rPr>
          <w:rFonts w:ascii="Lato" w:eastAsia="Times New Roman" w:hAnsi="Lato" w:cs="Times New Roman"/>
          <w:b/>
          <w:bCs/>
          <w:color w:val="0C0C0F"/>
          <w:kern w:val="0"/>
          <w:lang w:eastAsia="it-IT"/>
          <w14:ligatures w14:val="none"/>
        </w:rPr>
        <w:t>Di </w:t>
      </w:r>
      <w:r w:rsidRPr="00A22350">
        <w:rPr>
          <w:rFonts w:ascii="Lato" w:eastAsia="Times New Roman" w:hAnsi="Lato" w:cs="Times New Roman"/>
          <w:b/>
          <w:bCs/>
          <w:color w:val="1E5192"/>
          <w:kern w:val="0"/>
          <w:lang w:eastAsia="it-IT"/>
          <w14:ligatures w14:val="none"/>
        </w:rPr>
        <w:t>Giovanni Maria Riccio</w:t>
      </w:r>
    </w:p>
    <w:p w14:paraId="461FD3D8" w14:textId="77777777" w:rsidR="00A22350" w:rsidRDefault="00A22350" w:rsidP="00A22350">
      <w:pPr>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Professore ordinario in diritto privato comparato presso l’Università di Salerno e Partner Studio Legale E-</w:t>
      </w:r>
      <w:proofErr w:type="spellStart"/>
      <w:r w:rsidRPr="00A22350">
        <w:rPr>
          <w:rFonts w:ascii="Lato" w:eastAsia="Times New Roman" w:hAnsi="Lato" w:cs="Times New Roman"/>
          <w:color w:val="0C0C0F"/>
          <w:kern w:val="0"/>
          <w:lang w:eastAsia="it-IT"/>
          <w14:ligatures w14:val="none"/>
        </w:rPr>
        <w:t>Lex</w:t>
      </w:r>
      <w:proofErr w:type="spellEnd"/>
      <w:r w:rsidRPr="00A22350">
        <w:rPr>
          <w:rFonts w:ascii="Lato" w:eastAsia="Times New Roman" w:hAnsi="Lato" w:cs="Times New Roman"/>
          <w:color w:val="0C0C0F"/>
          <w:kern w:val="0"/>
          <w:lang w:eastAsia="it-IT"/>
          <w14:ligatures w14:val="none"/>
        </w:rPr>
        <w:t xml:space="preserve"> – Roma</w:t>
      </w:r>
    </w:p>
    <w:p w14:paraId="332660AD" w14:textId="77777777" w:rsidR="006E57A2" w:rsidRPr="00A22350" w:rsidRDefault="006E57A2" w:rsidP="00A22350">
      <w:pPr>
        <w:jc w:val="both"/>
        <w:rPr>
          <w:rFonts w:ascii="Lato" w:eastAsia="Times New Roman" w:hAnsi="Lato" w:cs="Times New Roman"/>
          <w:color w:val="0C0C0F"/>
          <w:kern w:val="0"/>
          <w:lang w:eastAsia="it-IT"/>
          <w14:ligatures w14:val="none"/>
        </w:rPr>
      </w:pPr>
    </w:p>
    <w:p w14:paraId="4E0EECA5" w14:textId="77777777" w:rsidR="00A22350" w:rsidRPr="00A22350" w:rsidRDefault="00A22350" w:rsidP="00A22350">
      <w:pPr>
        <w:jc w:val="both"/>
        <w:rPr>
          <w:rFonts w:ascii="Roboto Slab" w:eastAsia="Times New Roman" w:hAnsi="Roboto Slab" w:cs="Roboto Slab"/>
          <w:color w:val="5E5E5E"/>
          <w:kern w:val="0"/>
          <w:lang w:eastAsia="it-IT"/>
          <w14:ligatures w14:val="none"/>
        </w:rPr>
      </w:pPr>
      <w:r w:rsidRPr="00A22350">
        <w:rPr>
          <w:rFonts w:ascii="Roboto Slab" w:eastAsia="Times New Roman" w:hAnsi="Roboto Slab" w:cs="Roboto Slab"/>
          <w:color w:val="5E5E5E"/>
          <w:kern w:val="0"/>
          <w:lang w:eastAsia="it-IT"/>
          <w14:ligatures w14:val="none"/>
        </w:rPr>
        <w:t>Pubblicato il 18/09/2025</w:t>
      </w:r>
    </w:p>
    <w:p w14:paraId="19FF8D0A" w14:textId="77777777" w:rsidR="00A22350" w:rsidRDefault="00A22350" w:rsidP="00A22350">
      <w:pPr>
        <w:spacing w:after="100" w:afterAutospacing="1"/>
        <w:jc w:val="both"/>
        <w:rPr>
          <w:rFonts w:ascii="Lato" w:eastAsia="Times New Roman" w:hAnsi="Lato" w:cs="Times New Roman"/>
          <w:color w:val="0C0C0F"/>
          <w:kern w:val="0"/>
          <w:lang w:eastAsia="it-IT"/>
          <w14:ligatures w14:val="none"/>
        </w:rPr>
      </w:pPr>
    </w:p>
    <w:p w14:paraId="2C6E539D" w14:textId="30DC99A8" w:rsid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La nuova legge italiana sull’intelligenza artificiale, approvata definitivamente ieri dal Senato, ambisce a essere il primo documento legislativo organico nazionale per l’IA, in coordinamento con la regolamentazione europea. Composto da 4 capi e 26 articoli, il testo dell’originario disegno di legge è stato licenziato dal Consiglio dei Ministri il 23 aprile 2024, dunque ancor prima della definitiva approvazione (e pubblicazione nella Gazzetta ufficiale UE) del</w:t>
      </w:r>
      <w:r>
        <w:rPr>
          <w:rFonts w:ascii="Times New Roman" w:eastAsia="Times New Roman" w:hAnsi="Times New Roman" w:cs="Times New Roman"/>
          <w:color w:val="515151"/>
          <w:kern w:val="0"/>
          <w:shd w:val="clear" w:color="auto" w:fill="FFFFFF"/>
          <w:lang w:eastAsia="it-IT"/>
          <w14:ligatures w14:val="none"/>
        </w:rPr>
        <w:t xml:space="preserve"> </w:t>
      </w:r>
      <w:hyperlink r:id="rId5" w:tgtFrame="_blank" w:tooltip="10LX0000966310SOMM" w:history="1">
        <w:r w:rsidRPr="00A22350">
          <w:rPr>
            <w:rFonts w:ascii="Lato" w:eastAsia="Times New Roman" w:hAnsi="Lato" w:cs="Times New Roman"/>
            <w:color w:val="54960D"/>
            <w:kern w:val="0"/>
            <w:u w:val="single"/>
            <w:lang w:eastAsia="it-IT"/>
            <w14:ligatures w14:val="none"/>
          </w:rPr>
          <w:t>Regolamento 2024/1689</w:t>
        </w:r>
      </w:hyperlink>
      <w:r w:rsidRPr="00A22350">
        <w:rPr>
          <w:rFonts w:ascii="Lato" w:eastAsia="Times New Roman" w:hAnsi="Lato" w:cs="Times New Roman"/>
          <w:color w:val="0C0C0F"/>
          <w:kern w:val="0"/>
          <w:lang w:eastAsia="it-IT"/>
          <w14:ligatures w14:val="none"/>
        </w:rPr>
        <w:t> AI Act. Questa tempistica ha causato molteplici disallineamenti, sia terminologici che sostanziali, tra il progetto italiano e l’AI Act, molti dei quali sono stati risolti durante il passaggio parlamentare.</w:t>
      </w:r>
    </w:p>
    <w:p w14:paraId="4156BCE7" w14:textId="77777777" w:rsidR="00A22350" w:rsidRPr="00A22350" w:rsidRDefault="00A22350" w:rsidP="00A22350">
      <w:pPr>
        <w:spacing w:line="360" w:lineRule="auto"/>
        <w:jc w:val="both"/>
        <w:rPr>
          <w:rFonts w:ascii="Times New Roman" w:eastAsia="Times New Roman" w:hAnsi="Times New Roman" w:cs="Times New Roman"/>
          <w:color w:val="515151"/>
          <w:kern w:val="0"/>
          <w:shd w:val="clear" w:color="auto" w:fill="FFFFFF"/>
          <w:lang w:eastAsia="it-IT"/>
          <w14:ligatures w14:val="none"/>
        </w:rPr>
      </w:pPr>
    </w:p>
    <w:p w14:paraId="1C27809E" w14:textId="77777777" w:rsidR="00A22350" w:rsidRPr="00A22350" w:rsidRDefault="00A22350" w:rsidP="00A22350">
      <w:pPr>
        <w:spacing w:line="360" w:lineRule="auto"/>
        <w:jc w:val="both"/>
        <w:outlineLvl w:val="1"/>
        <w:rPr>
          <w:rFonts w:ascii="Lato" w:eastAsia="Times New Roman" w:hAnsi="Lato" w:cs="Times New Roman"/>
          <w:b/>
          <w:bCs/>
          <w:color w:val="0C0C0F"/>
          <w:kern w:val="0"/>
          <w:sz w:val="36"/>
          <w:szCs w:val="36"/>
          <w:lang w:eastAsia="it-IT"/>
          <w14:ligatures w14:val="none"/>
        </w:rPr>
      </w:pPr>
      <w:r w:rsidRPr="00A22350">
        <w:rPr>
          <w:rFonts w:ascii="Lato" w:eastAsia="Times New Roman" w:hAnsi="Lato" w:cs="Times New Roman"/>
          <w:b/>
          <w:bCs/>
          <w:color w:val="0C0C0F"/>
          <w:kern w:val="0"/>
          <w:sz w:val="36"/>
          <w:szCs w:val="36"/>
          <w:lang w:eastAsia="it-IT"/>
          <w14:ligatures w14:val="none"/>
        </w:rPr>
        <w:t>Primi dubbi</w:t>
      </w:r>
    </w:p>
    <w:p w14:paraId="327DE080"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Fra i principali profili di frizione tra la logica sottesa all’</w:t>
      </w:r>
      <w:r w:rsidRPr="00A22350">
        <w:rPr>
          <w:rFonts w:ascii="Lato" w:eastAsia="Times New Roman" w:hAnsi="Lato" w:cs="Times New Roman"/>
          <w:b/>
          <w:bCs/>
          <w:color w:val="0C0C0F"/>
          <w:kern w:val="0"/>
          <w:lang w:eastAsia="it-IT"/>
          <w14:ligatures w14:val="none"/>
        </w:rPr>
        <w:t>AI Act</w:t>
      </w:r>
      <w:r w:rsidRPr="00A22350">
        <w:rPr>
          <w:rFonts w:ascii="Lato" w:eastAsia="Times New Roman" w:hAnsi="Lato" w:cs="Times New Roman"/>
          <w:color w:val="0C0C0F"/>
          <w:kern w:val="0"/>
          <w:lang w:eastAsia="it-IT"/>
          <w14:ligatures w14:val="none"/>
        </w:rPr>
        <w:t> e la </w:t>
      </w:r>
      <w:r w:rsidRPr="00A22350">
        <w:rPr>
          <w:rFonts w:ascii="Lato" w:eastAsia="Times New Roman" w:hAnsi="Lato" w:cs="Times New Roman"/>
          <w:b/>
          <w:bCs/>
          <w:color w:val="0C0C0F"/>
          <w:kern w:val="0"/>
          <w:lang w:eastAsia="it-IT"/>
          <w14:ligatures w14:val="none"/>
        </w:rPr>
        <w:t>legge italiana</w:t>
      </w:r>
      <w:r w:rsidRPr="00A22350">
        <w:rPr>
          <w:rFonts w:ascii="Lato" w:eastAsia="Times New Roman" w:hAnsi="Lato" w:cs="Times New Roman"/>
          <w:color w:val="0C0C0F"/>
          <w:kern w:val="0"/>
          <w:lang w:eastAsia="it-IT"/>
          <w14:ligatures w14:val="none"/>
        </w:rPr>
        <w:t>, v’è l’individuazione dell’</w:t>
      </w:r>
      <w:r w:rsidRPr="00A22350">
        <w:rPr>
          <w:rFonts w:ascii="Lato" w:eastAsia="Times New Roman" w:hAnsi="Lato" w:cs="Times New Roman"/>
          <w:b/>
          <w:bCs/>
          <w:color w:val="0C0C0F"/>
          <w:kern w:val="0"/>
          <w:lang w:eastAsia="it-IT"/>
          <w14:ligatures w14:val="none"/>
        </w:rPr>
        <w:t>AGID</w:t>
      </w:r>
      <w:r w:rsidRPr="00A22350">
        <w:rPr>
          <w:rFonts w:ascii="Lato" w:eastAsia="Times New Roman" w:hAnsi="Lato" w:cs="Times New Roman"/>
          <w:color w:val="0C0C0F"/>
          <w:kern w:val="0"/>
          <w:lang w:eastAsia="it-IT"/>
          <w14:ligatures w14:val="none"/>
        </w:rPr>
        <w:t> e dell’</w:t>
      </w:r>
      <w:r w:rsidRPr="00A22350">
        <w:rPr>
          <w:rFonts w:ascii="Lato" w:eastAsia="Times New Roman" w:hAnsi="Lato" w:cs="Times New Roman"/>
          <w:b/>
          <w:bCs/>
          <w:color w:val="0C0C0F"/>
          <w:kern w:val="0"/>
          <w:lang w:eastAsia="it-IT"/>
          <w14:ligatures w14:val="none"/>
        </w:rPr>
        <w:t>ACN</w:t>
      </w:r>
      <w:r w:rsidRPr="00A22350">
        <w:rPr>
          <w:rFonts w:ascii="Lato" w:eastAsia="Times New Roman" w:hAnsi="Lato" w:cs="Times New Roman"/>
          <w:color w:val="0C0C0F"/>
          <w:kern w:val="0"/>
          <w:lang w:eastAsia="it-IT"/>
          <w14:ligatures w14:val="none"/>
        </w:rPr>
        <w:t>, enti governativi di diritto pubblico, quali </w:t>
      </w:r>
      <w:r w:rsidRPr="00A22350">
        <w:rPr>
          <w:rFonts w:ascii="Lato" w:eastAsia="Times New Roman" w:hAnsi="Lato" w:cs="Times New Roman"/>
          <w:b/>
          <w:bCs/>
          <w:color w:val="0C0C0F"/>
          <w:kern w:val="0"/>
          <w:lang w:eastAsia="it-IT"/>
          <w14:ligatures w14:val="none"/>
        </w:rPr>
        <w:t>autorità nazionali per l’intelligenza artificiale</w:t>
      </w:r>
      <w:r w:rsidRPr="00A22350">
        <w:rPr>
          <w:rFonts w:ascii="Lato" w:eastAsia="Times New Roman" w:hAnsi="Lato" w:cs="Times New Roman"/>
          <w:color w:val="0C0C0F"/>
          <w:kern w:val="0"/>
          <w:lang w:eastAsia="it-IT"/>
          <w14:ligatures w14:val="none"/>
        </w:rPr>
        <w:t> (art. 20). Essendo l’AI Act un provvedimento preordinato anche alla tutela dei diritti fondamentali, sarebbe parso più coerente e opportuno optare per una o più autorità amministrative indipendenti, cosa che avrebbe assicurato un più elevato livello di tutela per i diritti dei singoli ed evitato prevedibili sovrapposizioni di competenze, in particolare con il Garante per la protezione dei dati personali. </w:t>
      </w:r>
    </w:p>
    <w:p w14:paraId="221A63B2"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lastRenderedPageBreak/>
        <w:t>Ancora, non può sottacersi come, anche per via della tempistica affatto particolare della sua approvazione, </w:t>
      </w:r>
      <w:r w:rsidRPr="00A22350">
        <w:rPr>
          <w:rFonts w:ascii="Lato" w:eastAsia="Times New Roman" w:hAnsi="Lato" w:cs="Times New Roman"/>
          <w:b/>
          <w:bCs/>
          <w:color w:val="0C0C0F"/>
          <w:kern w:val="0"/>
          <w:lang w:eastAsia="it-IT"/>
          <w14:ligatures w14:val="none"/>
        </w:rPr>
        <w:t>la legge italiana assuma a tratti più il carattere di “provvedimento simbolico”</w:t>
      </w:r>
      <w:r w:rsidRPr="00A22350">
        <w:rPr>
          <w:rFonts w:ascii="Lato" w:eastAsia="Times New Roman" w:hAnsi="Lato" w:cs="Times New Roman"/>
          <w:color w:val="0C0C0F"/>
          <w:kern w:val="0"/>
          <w:lang w:eastAsia="it-IT"/>
          <w14:ligatures w14:val="none"/>
        </w:rPr>
        <w:t>, che non di meditata innovazione sostanziale dell’assetto normativo interno. </w:t>
      </w:r>
    </w:p>
    <w:p w14:paraId="696F6B4B"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I </w:t>
      </w:r>
      <w:r w:rsidRPr="00A22350">
        <w:rPr>
          <w:rFonts w:ascii="Lato" w:eastAsia="Times New Roman" w:hAnsi="Lato" w:cs="Times New Roman"/>
          <w:b/>
          <w:bCs/>
          <w:color w:val="0C0C0F"/>
          <w:kern w:val="0"/>
          <w:lang w:eastAsia="it-IT"/>
          <w14:ligatures w14:val="none"/>
        </w:rPr>
        <w:t>primi 4 articoli</w:t>
      </w:r>
      <w:r w:rsidRPr="00A22350">
        <w:rPr>
          <w:rFonts w:ascii="Lato" w:eastAsia="Times New Roman" w:hAnsi="Lato" w:cs="Times New Roman"/>
          <w:color w:val="0C0C0F"/>
          <w:kern w:val="0"/>
          <w:lang w:eastAsia="it-IT"/>
          <w14:ligatures w14:val="none"/>
        </w:rPr>
        <w:t> si connotano come </w:t>
      </w:r>
      <w:r w:rsidRPr="00A22350">
        <w:rPr>
          <w:rFonts w:ascii="Lato" w:eastAsia="Times New Roman" w:hAnsi="Lato" w:cs="Times New Roman"/>
          <w:b/>
          <w:bCs/>
          <w:color w:val="0C0C0F"/>
          <w:kern w:val="0"/>
          <w:lang w:eastAsia="it-IT"/>
          <w14:ligatures w14:val="none"/>
        </w:rPr>
        <w:t>disposizioni programmatiche</w:t>
      </w:r>
      <w:r w:rsidRPr="00A22350">
        <w:rPr>
          <w:rFonts w:ascii="Lato" w:eastAsia="Times New Roman" w:hAnsi="Lato" w:cs="Times New Roman"/>
          <w:color w:val="0C0C0F"/>
          <w:kern w:val="0"/>
          <w:lang w:eastAsia="it-IT"/>
          <w14:ligatures w14:val="none"/>
        </w:rPr>
        <w:t> (o meramente ripetitive dell’AI Act, come nel caso delle definizioni di cui all’art. 2), con alcune previsioni bensì innovative ma di dubbia efficacia operativa, come l’art. 4, comma 4, che subordina al consenso dei genitori del minore infraquattordicenne non soltanto il trattamento dei relativi dati (o la stipula dei relativi negozi), ma già il mero accesso alle tecnologie di intelligenza artificiale (norma che, data la diffusione capillare di tali tecnologie in prodotti di largo consumo e uso quotidiano, prevedibilmente rimarrà una mera petizione di principio). </w:t>
      </w:r>
      <w:r w:rsidRPr="00A22350">
        <w:rPr>
          <w:rFonts w:ascii="Lato" w:eastAsia="Times New Roman" w:hAnsi="Lato" w:cs="Times New Roman"/>
          <w:b/>
          <w:bCs/>
          <w:color w:val="0C0C0F"/>
          <w:kern w:val="0"/>
          <w:lang w:eastAsia="it-IT"/>
          <w14:ligatures w14:val="none"/>
        </w:rPr>
        <w:t>Gli artt. 16 e 24</w:t>
      </w:r>
      <w:r w:rsidRPr="00A22350">
        <w:rPr>
          <w:rFonts w:ascii="Lato" w:eastAsia="Times New Roman" w:hAnsi="Lato" w:cs="Times New Roman"/>
          <w:color w:val="0C0C0F"/>
          <w:kern w:val="0"/>
          <w:lang w:eastAsia="it-IT"/>
          <w14:ligatures w14:val="none"/>
        </w:rPr>
        <w:t>, invece, </w:t>
      </w:r>
      <w:r w:rsidRPr="00A22350">
        <w:rPr>
          <w:rFonts w:ascii="Lato" w:eastAsia="Times New Roman" w:hAnsi="Lato" w:cs="Times New Roman"/>
          <w:b/>
          <w:bCs/>
          <w:color w:val="0C0C0F"/>
          <w:kern w:val="0"/>
          <w:lang w:eastAsia="it-IT"/>
          <w14:ligatures w14:val="none"/>
        </w:rPr>
        <w:t>attribuiscono al Governo della Repubblica deleghe molto ampie, forse eccessive</w:t>
      </w:r>
      <w:r w:rsidRPr="00A22350">
        <w:rPr>
          <w:rFonts w:ascii="Lato" w:eastAsia="Times New Roman" w:hAnsi="Lato" w:cs="Times New Roman"/>
          <w:color w:val="0C0C0F"/>
          <w:kern w:val="0"/>
          <w:lang w:eastAsia="it-IT"/>
          <w14:ligatures w14:val="none"/>
        </w:rPr>
        <w:t>, nella definizione delle regole sull’intelligenza artificiale.</w:t>
      </w:r>
    </w:p>
    <w:p w14:paraId="72740EF5" w14:textId="77777777" w:rsid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 xml:space="preserve">Il </w:t>
      </w:r>
      <w:proofErr w:type="spellStart"/>
      <w:r w:rsidRPr="00A22350">
        <w:rPr>
          <w:rFonts w:ascii="Lato" w:eastAsia="Times New Roman" w:hAnsi="Lato" w:cs="Times New Roman"/>
          <w:color w:val="0C0C0F"/>
          <w:kern w:val="0"/>
          <w:lang w:eastAsia="it-IT"/>
          <w14:ligatures w14:val="none"/>
        </w:rPr>
        <w:t>d.d.l.</w:t>
      </w:r>
      <w:proofErr w:type="spellEnd"/>
      <w:r w:rsidRPr="00A22350">
        <w:rPr>
          <w:rFonts w:ascii="Lato" w:eastAsia="Times New Roman" w:hAnsi="Lato" w:cs="Times New Roman"/>
          <w:color w:val="0C0C0F"/>
          <w:kern w:val="0"/>
          <w:lang w:eastAsia="it-IT"/>
          <w14:ligatures w14:val="none"/>
        </w:rPr>
        <w:t xml:space="preserve"> interviene poi in modo più specifico in tre settori: </w:t>
      </w:r>
      <w:r w:rsidRPr="00A22350">
        <w:rPr>
          <w:rFonts w:ascii="Lato" w:eastAsia="Times New Roman" w:hAnsi="Lato" w:cs="Times New Roman"/>
          <w:b/>
          <w:bCs/>
          <w:color w:val="0C0C0F"/>
          <w:kern w:val="0"/>
          <w:lang w:eastAsia="it-IT"/>
          <w14:ligatures w14:val="none"/>
        </w:rPr>
        <w:t>sicurezza e difesa nazionale</w:t>
      </w:r>
      <w:r w:rsidRPr="00A22350">
        <w:rPr>
          <w:rFonts w:ascii="Lato" w:eastAsia="Times New Roman" w:hAnsi="Lato" w:cs="Times New Roman"/>
          <w:color w:val="0C0C0F"/>
          <w:kern w:val="0"/>
          <w:lang w:eastAsia="it-IT"/>
          <w14:ligatures w14:val="none"/>
        </w:rPr>
        <w:t>, </w:t>
      </w:r>
      <w:r w:rsidRPr="00A22350">
        <w:rPr>
          <w:rFonts w:ascii="Lato" w:eastAsia="Times New Roman" w:hAnsi="Lato" w:cs="Times New Roman"/>
          <w:b/>
          <w:bCs/>
          <w:color w:val="0C0C0F"/>
          <w:kern w:val="0"/>
          <w:lang w:eastAsia="it-IT"/>
          <w14:ligatures w14:val="none"/>
        </w:rPr>
        <w:t>sanità</w:t>
      </w:r>
      <w:r w:rsidRPr="00A22350">
        <w:rPr>
          <w:rFonts w:ascii="Lato" w:eastAsia="Times New Roman" w:hAnsi="Lato" w:cs="Times New Roman"/>
          <w:color w:val="0C0C0F"/>
          <w:kern w:val="0"/>
          <w:lang w:eastAsia="it-IT"/>
          <w14:ligatures w14:val="none"/>
        </w:rPr>
        <w:t> e </w:t>
      </w:r>
      <w:r w:rsidRPr="00A22350">
        <w:rPr>
          <w:rFonts w:ascii="Lato" w:eastAsia="Times New Roman" w:hAnsi="Lato" w:cs="Times New Roman"/>
          <w:b/>
          <w:bCs/>
          <w:color w:val="0C0C0F"/>
          <w:kern w:val="0"/>
          <w:lang w:eastAsia="it-IT"/>
          <w14:ligatures w14:val="none"/>
        </w:rPr>
        <w:t>diritto d’autore</w:t>
      </w:r>
      <w:r w:rsidRPr="00A22350">
        <w:rPr>
          <w:rFonts w:ascii="Lato" w:eastAsia="Times New Roman" w:hAnsi="Lato" w:cs="Times New Roman"/>
          <w:color w:val="0C0C0F"/>
          <w:kern w:val="0"/>
          <w:lang w:eastAsia="it-IT"/>
          <w14:ligatures w14:val="none"/>
        </w:rPr>
        <w:t>.</w:t>
      </w:r>
    </w:p>
    <w:p w14:paraId="4426DB06"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p>
    <w:p w14:paraId="696ED0BA" w14:textId="77777777" w:rsidR="00A22350" w:rsidRPr="00A22350" w:rsidRDefault="00A22350" w:rsidP="00A22350">
      <w:pPr>
        <w:spacing w:line="360" w:lineRule="auto"/>
        <w:jc w:val="both"/>
        <w:outlineLvl w:val="1"/>
        <w:rPr>
          <w:rFonts w:ascii="Lato" w:eastAsia="Times New Roman" w:hAnsi="Lato" w:cs="Times New Roman"/>
          <w:b/>
          <w:bCs/>
          <w:color w:val="0C0C0F"/>
          <w:kern w:val="0"/>
          <w:sz w:val="36"/>
          <w:szCs w:val="36"/>
          <w:lang w:eastAsia="it-IT"/>
          <w14:ligatures w14:val="none"/>
        </w:rPr>
      </w:pPr>
      <w:r w:rsidRPr="00A22350">
        <w:rPr>
          <w:rFonts w:ascii="Lato" w:eastAsia="Times New Roman" w:hAnsi="Lato" w:cs="Times New Roman"/>
          <w:b/>
          <w:bCs/>
          <w:color w:val="0C0C0F"/>
          <w:kern w:val="0"/>
          <w:sz w:val="36"/>
          <w:szCs w:val="36"/>
          <w:lang w:eastAsia="it-IT"/>
          <w14:ligatures w14:val="none"/>
        </w:rPr>
        <w:t>Sicurezza e difesa nazionale</w:t>
      </w:r>
    </w:p>
    <w:p w14:paraId="5B4A55D9"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L’art. 6, comma 1, esclude dall’applicazione della legge le attività di </w:t>
      </w:r>
      <w:r w:rsidRPr="00A22350">
        <w:rPr>
          <w:rFonts w:ascii="Lato" w:eastAsia="Times New Roman" w:hAnsi="Lato" w:cs="Times New Roman"/>
          <w:b/>
          <w:bCs/>
          <w:color w:val="0C0C0F"/>
          <w:kern w:val="0"/>
          <w:lang w:eastAsia="it-IT"/>
          <w14:ligatures w14:val="none"/>
        </w:rPr>
        <w:t>ricerca</w:t>
      </w:r>
      <w:r w:rsidRPr="00A22350">
        <w:rPr>
          <w:rFonts w:ascii="Lato" w:eastAsia="Times New Roman" w:hAnsi="Lato" w:cs="Times New Roman"/>
          <w:color w:val="0C0C0F"/>
          <w:kern w:val="0"/>
          <w:lang w:eastAsia="it-IT"/>
          <w14:ligatures w14:val="none"/>
        </w:rPr>
        <w:t>, </w:t>
      </w:r>
      <w:r w:rsidRPr="00A22350">
        <w:rPr>
          <w:rFonts w:ascii="Lato" w:eastAsia="Times New Roman" w:hAnsi="Lato" w:cs="Times New Roman"/>
          <w:b/>
          <w:bCs/>
          <w:color w:val="0C0C0F"/>
          <w:kern w:val="0"/>
          <w:lang w:eastAsia="it-IT"/>
          <w14:ligatures w14:val="none"/>
        </w:rPr>
        <w:t>sperimentazione</w:t>
      </w:r>
      <w:r w:rsidRPr="00A22350">
        <w:rPr>
          <w:rFonts w:ascii="Lato" w:eastAsia="Times New Roman" w:hAnsi="Lato" w:cs="Times New Roman"/>
          <w:color w:val="0C0C0F"/>
          <w:kern w:val="0"/>
          <w:lang w:eastAsia="it-IT"/>
          <w14:ligatures w14:val="none"/>
        </w:rPr>
        <w:t>, </w:t>
      </w:r>
      <w:r w:rsidRPr="00A22350">
        <w:rPr>
          <w:rFonts w:ascii="Lato" w:eastAsia="Times New Roman" w:hAnsi="Lato" w:cs="Times New Roman"/>
          <w:b/>
          <w:bCs/>
          <w:color w:val="0C0C0F"/>
          <w:kern w:val="0"/>
          <w:lang w:eastAsia="it-IT"/>
          <w14:ligatures w14:val="none"/>
        </w:rPr>
        <w:t>sviluppo</w:t>
      </w:r>
      <w:r w:rsidRPr="00A22350">
        <w:rPr>
          <w:rFonts w:ascii="Lato" w:eastAsia="Times New Roman" w:hAnsi="Lato" w:cs="Times New Roman"/>
          <w:color w:val="0C0C0F"/>
          <w:kern w:val="0"/>
          <w:lang w:eastAsia="it-IT"/>
          <w14:ligatures w14:val="none"/>
        </w:rPr>
        <w:t>, </w:t>
      </w:r>
      <w:r w:rsidRPr="00A22350">
        <w:rPr>
          <w:rFonts w:ascii="Lato" w:eastAsia="Times New Roman" w:hAnsi="Lato" w:cs="Times New Roman"/>
          <w:b/>
          <w:bCs/>
          <w:color w:val="0C0C0F"/>
          <w:kern w:val="0"/>
          <w:lang w:eastAsia="it-IT"/>
          <w14:ligatures w14:val="none"/>
        </w:rPr>
        <w:t>adozione</w:t>
      </w:r>
      <w:r w:rsidRPr="00A22350">
        <w:rPr>
          <w:rFonts w:ascii="Lato" w:eastAsia="Times New Roman" w:hAnsi="Lato" w:cs="Times New Roman"/>
          <w:color w:val="0C0C0F"/>
          <w:kern w:val="0"/>
          <w:lang w:eastAsia="it-IT"/>
          <w14:ligatures w14:val="none"/>
        </w:rPr>
        <w:t>, </w:t>
      </w:r>
      <w:r w:rsidRPr="00A22350">
        <w:rPr>
          <w:rFonts w:ascii="Lato" w:eastAsia="Times New Roman" w:hAnsi="Lato" w:cs="Times New Roman"/>
          <w:b/>
          <w:bCs/>
          <w:color w:val="0C0C0F"/>
          <w:kern w:val="0"/>
          <w:lang w:eastAsia="it-IT"/>
          <w14:ligatures w14:val="none"/>
        </w:rPr>
        <w:t>applicazione</w:t>
      </w:r>
      <w:r w:rsidRPr="00A22350">
        <w:rPr>
          <w:rFonts w:ascii="Lato" w:eastAsia="Times New Roman" w:hAnsi="Lato" w:cs="Times New Roman"/>
          <w:color w:val="0C0C0F"/>
          <w:kern w:val="0"/>
          <w:lang w:eastAsia="it-IT"/>
          <w14:ligatures w14:val="none"/>
        </w:rPr>
        <w:t> e </w:t>
      </w:r>
      <w:r w:rsidRPr="00A22350">
        <w:rPr>
          <w:rFonts w:ascii="Lato" w:eastAsia="Times New Roman" w:hAnsi="Lato" w:cs="Times New Roman"/>
          <w:b/>
          <w:bCs/>
          <w:color w:val="0C0C0F"/>
          <w:kern w:val="0"/>
          <w:lang w:eastAsia="it-IT"/>
          <w14:ligatures w14:val="none"/>
        </w:rPr>
        <w:t>utilizzo di sistemi e modelli di intelligenza artificiale</w:t>
      </w:r>
      <w:r w:rsidRPr="00A22350">
        <w:rPr>
          <w:rFonts w:ascii="Lato" w:eastAsia="Times New Roman" w:hAnsi="Lato" w:cs="Times New Roman"/>
          <w:color w:val="0C0C0F"/>
          <w:kern w:val="0"/>
          <w:lang w:eastAsia="it-IT"/>
          <w14:ligatures w14:val="none"/>
        </w:rPr>
        <w:t> svolte a fini di sicurezza nazionale dal Dipartimento delle informazioni per la sicurezza (DIS), dall’Agenzia informazioni e sicurezza esterna (AISE), dall’Agenzia informazioni e sicurezza interna (AISI), dall’Agenzia per la cybersicurezza nazionale (ACN) per la tutela della sicurezza cibernetica, dalle Forze armate per scopi di difesa nazionale, e dalle Forze di polizia per prevenire e contrastare reati specifici. </w:t>
      </w:r>
    </w:p>
    <w:p w14:paraId="4DCC3D59"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Questa esclusione è </w:t>
      </w:r>
      <w:r w:rsidRPr="00A22350">
        <w:rPr>
          <w:rFonts w:ascii="Lato" w:eastAsia="Times New Roman" w:hAnsi="Lato" w:cs="Times New Roman"/>
          <w:b/>
          <w:bCs/>
          <w:color w:val="0C0C0F"/>
          <w:kern w:val="0"/>
          <w:lang w:eastAsia="it-IT"/>
          <w14:ligatures w14:val="none"/>
        </w:rPr>
        <w:t>in linea con l’AI Act</w:t>
      </w:r>
      <w:r w:rsidRPr="00A22350">
        <w:rPr>
          <w:rFonts w:ascii="Lato" w:eastAsia="Times New Roman" w:hAnsi="Lato" w:cs="Times New Roman"/>
          <w:color w:val="0C0C0F"/>
          <w:kern w:val="0"/>
          <w:lang w:eastAsia="it-IT"/>
          <w14:ligatures w14:val="none"/>
        </w:rPr>
        <w:t>, che riserva agli Stati membri le competenze in materia di sicurezza nazionale, e riflette il rilievo strategico che l’innovazione nel campo AI va assumendo anche sul piano delle relazioni internazionali.</w:t>
      </w:r>
    </w:p>
    <w:p w14:paraId="2F5A5F2B"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 xml:space="preserve">Nonostante l’esclusione generale, l’art. 6, comma 1, ultimo capoverso, richiamando l’art. 3, comma 4, stabilisce opportunamente che tali attività “non deve pregiudicare lo svolgimento con metodo democratico della vita istituzionale e politica”, né “la libertà del dibattito democratico da interferenze illecite, da chiunque provocate, tutelando gli interessi della sovranità dello </w:t>
      </w:r>
      <w:proofErr w:type="gramStart"/>
      <w:r w:rsidRPr="00A22350">
        <w:rPr>
          <w:rFonts w:ascii="Lato" w:eastAsia="Times New Roman" w:hAnsi="Lato" w:cs="Times New Roman"/>
          <w:color w:val="0C0C0F"/>
          <w:kern w:val="0"/>
          <w:lang w:eastAsia="it-IT"/>
          <w14:ligatures w14:val="none"/>
        </w:rPr>
        <w:t>stato .</w:t>
      </w:r>
      <w:proofErr w:type="gramEnd"/>
      <w:r w:rsidRPr="00A22350">
        <w:rPr>
          <w:rFonts w:ascii="Lato" w:eastAsia="Times New Roman" w:hAnsi="Lato" w:cs="Times New Roman"/>
          <w:color w:val="0C0C0F"/>
          <w:kern w:val="0"/>
          <w:lang w:eastAsia="it-IT"/>
          <w14:ligatures w14:val="none"/>
        </w:rPr>
        <w:t> </w:t>
      </w:r>
    </w:p>
    <w:p w14:paraId="7559BB54" w14:textId="23EE7EB1" w:rsidR="00A22350" w:rsidRPr="00A22350" w:rsidRDefault="00A22350" w:rsidP="00A22350">
      <w:pPr>
        <w:spacing w:line="360" w:lineRule="auto"/>
        <w:jc w:val="both"/>
        <w:rPr>
          <w:rFonts w:ascii="Times New Roman" w:eastAsia="Times New Roman" w:hAnsi="Times New Roman" w:cs="Times New Roman"/>
          <w:color w:val="515151"/>
          <w:kern w:val="0"/>
          <w:shd w:val="clear" w:color="auto" w:fill="FFFFFF"/>
          <w:lang w:eastAsia="it-IT"/>
          <w14:ligatures w14:val="none"/>
        </w:rPr>
      </w:pPr>
      <w:r w:rsidRPr="00A22350">
        <w:rPr>
          <w:rFonts w:ascii="Lato" w:eastAsia="Times New Roman" w:hAnsi="Lato" w:cs="Times New Roman"/>
          <w:color w:val="0C0C0F"/>
          <w:kern w:val="0"/>
          <w:lang w:eastAsia="it-IT"/>
          <w14:ligatures w14:val="none"/>
        </w:rPr>
        <w:lastRenderedPageBreak/>
        <w:t>L’art. 6, comma 3, inoltre, prescrive che le attività compiute per la sicurezza nazionale siano soggette al rispetto dell’</w:t>
      </w:r>
      <w:hyperlink r:id="rId6" w:tgtFrame="_blank" w:tooltip="10LX0000156905ART59" w:history="1">
        <w:r w:rsidRPr="00A22350">
          <w:rPr>
            <w:rFonts w:ascii="Lato" w:eastAsia="Times New Roman" w:hAnsi="Lato" w:cs="Times New Roman"/>
            <w:color w:val="54960D"/>
            <w:kern w:val="0"/>
            <w:u w:val="single"/>
            <w:lang w:eastAsia="it-IT"/>
            <w14:ligatures w14:val="none"/>
          </w:rPr>
          <w:t>art. 58</w:t>
        </w:r>
      </w:hyperlink>
      <w:r w:rsidRPr="00A22350">
        <w:rPr>
          <w:rFonts w:ascii="Lato" w:eastAsia="Times New Roman" w:hAnsi="Lato" w:cs="Times New Roman"/>
          <w:color w:val="0C0C0F"/>
          <w:kern w:val="0"/>
          <w:lang w:eastAsia="it-IT"/>
          <w14:ligatures w14:val="none"/>
        </w:rPr>
        <w:t>, commi 1 e 3, del </w:t>
      </w:r>
      <w:hyperlink r:id="rId7" w:tgtFrame="_blank" w:tooltip="10LX0000156905SOMM" w:history="1">
        <w:r w:rsidRPr="00A22350">
          <w:rPr>
            <w:rFonts w:ascii="Lato" w:eastAsia="Times New Roman" w:hAnsi="Lato" w:cs="Times New Roman"/>
            <w:color w:val="54960D"/>
            <w:kern w:val="0"/>
            <w:u w:val="single"/>
            <w:lang w:eastAsia="it-IT"/>
            <w14:ligatures w14:val="none"/>
          </w:rPr>
          <w:t>Codice in materia di protezione dei dati personali</w:t>
        </w:r>
      </w:hyperlink>
      <w:r w:rsidRPr="00A22350">
        <w:rPr>
          <w:rFonts w:ascii="Lato" w:eastAsia="Times New Roman" w:hAnsi="Lato" w:cs="Times New Roman"/>
          <w:color w:val="0C0C0F"/>
          <w:kern w:val="0"/>
          <w:lang w:eastAsia="it-IT"/>
          <w14:ligatures w14:val="none"/>
        </w:rPr>
        <w:t>. Sarebbe parso opportuno estendere tale disciplina, per coerenza, anche ai trattamenti svolti dalle forze di polizia per finalità di sicurezza nazionale. </w:t>
      </w:r>
    </w:p>
    <w:p w14:paraId="0E7469C6"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Per tutti gli impieghi di IA per la sicurezza nazionale, l’art. 6, comma 4, rinvia a un </w:t>
      </w:r>
      <w:r w:rsidRPr="00A22350">
        <w:rPr>
          <w:rFonts w:ascii="Lato" w:eastAsia="Times New Roman" w:hAnsi="Lato" w:cs="Times New Roman"/>
          <w:b/>
          <w:bCs/>
          <w:color w:val="0C0C0F"/>
          <w:kern w:val="0"/>
          <w:lang w:eastAsia="it-IT"/>
          <w14:ligatures w14:val="none"/>
        </w:rPr>
        <w:t xml:space="preserve">regolamento per la definizione delle modalità di applicazione dei principi e delle </w:t>
      </w:r>
      <w:proofErr w:type="spellStart"/>
      <w:r w:rsidRPr="00A22350">
        <w:rPr>
          <w:rFonts w:ascii="Lato" w:eastAsia="Times New Roman" w:hAnsi="Lato" w:cs="Times New Roman"/>
          <w:b/>
          <w:bCs/>
          <w:color w:val="0C0C0F"/>
          <w:kern w:val="0"/>
          <w:lang w:eastAsia="it-IT"/>
          <w14:ligatures w14:val="none"/>
        </w:rPr>
        <w:t>regole</w:t>
      </w:r>
      <w:r w:rsidRPr="00A22350">
        <w:rPr>
          <w:rFonts w:ascii="Lato" w:eastAsia="Times New Roman" w:hAnsi="Lato" w:cs="Times New Roman"/>
          <w:color w:val="0C0C0F"/>
          <w:kern w:val="0"/>
          <w:lang w:eastAsia="it-IT"/>
          <w14:ligatures w14:val="none"/>
        </w:rPr>
        <w:t>fissate</w:t>
      </w:r>
      <w:proofErr w:type="spellEnd"/>
      <w:r w:rsidRPr="00A22350">
        <w:rPr>
          <w:rFonts w:ascii="Lato" w:eastAsia="Times New Roman" w:hAnsi="Lato" w:cs="Times New Roman"/>
          <w:color w:val="0C0C0F"/>
          <w:kern w:val="0"/>
          <w:lang w:eastAsia="it-IT"/>
          <w14:ligatures w14:val="none"/>
        </w:rPr>
        <w:t xml:space="preserve"> nel nuovo testo di legge.</w:t>
      </w:r>
    </w:p>
    <w:p w14:paraId="6F7F643E" w14:textId="189FAA84" w:rsid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Si deve notare, inoltre, che nel testo approvato in via definitiva </w:t>
      </w:r>
      <w:r w:rsidRPr="00A22350">
        <w:rPr>
          <w:rFonts w:ascii="Lato" w:eastAsia="Times New Roman" w:hAnsi="Lato" w:cs="Times New Roman"/>
          <w:b/>
          <w:bCs/>
          <w:color w:val="0C0C0F"/>
          <w:kern w:val="0"/>
          <w:lang w:eastAsia="it-IT"/>
          <w14:ligatures w14:val="none"/>
        </w:rPr>
        <w:t>è stata eliminata la previsione</w:t>
      </w:r>
      <w:r w:rsidRPr="00A22350">
        <w:rPr>
          <w:rFonts w:ascii="Lato" w:eastAsia="Times New Roman" w:hAnsi="Lato" w:cs="Times New Roman"/>
          <w:color w:val="0C0C0F"/>
          <w:kern w:val="0"/>
          <w:lang w:eastAsia="it-IT"/>
          <w14:ligatures w14:val="none"/>
        </w:rPr>
        <w:t xml:space="preserve"> - originariamente contenuta nell’art. 6, comma 2 del </w:t>
      </w:r>
      <w:proofErr w:type="spellStart"/>
      <w:r w:rsidRPr="00A22350">
        <w:rPr>
          <w:rFonts w:ascii="Lato" w:eastAsia="Times New Roman" w:hAnsi="Lato" w:cs="Times New Roman"/>
          <w:color w:val="0C0C0F"/>
          <w:kern w:val="0"/>
          <w:lang w:eastAsia="it-IT"/>
          <w14:ligatures w14:val="none"/>
        </w:rPr>
        <w:t>ddl</w:t>
      </w:r>
      <w:proofErr w:type="spellEnd"/>
      <w:r w:rsidRPr="00A22350">
        <w:rPr>
          <w:rFonts w:ascii="Lato" w:eastAsia="Times New Roman" w:hAnsi="Lato" w:cs="Times New Roman"/>
          <w:color w:val="0C0C0F"/>
          <w:kern w:val="0"/>
          <w:lang w:eastAsia="it-IT"/>
          <w14:ligatures w14:val="none"/>
        </w:rPr>
        <w:t xml:space="preserve"> - </w:t>
      </w:r>
      <w:r w:rsidRPr="00A22350">
        <w:rPr>
          <w:rFonts w:ascii="Lato" w:eastAsia="Times New Roman" w:hAnsi="Lato" w:cs="Times New Roman"/>
          <w:b/>
          <w:bCs/>
          <w:color w:val="0C0C0F"/>
          <w:kern w:val="0"/>
          <w:lang w:eastAsia="it-IT"/>
          <w14:ligatures w14:val="none"/>
        </w:rPr>
        <w:t>che imponeva l’installazione di sistemi di IA ad uso pubblico su server nazionali</w:t>
      </w:r>
      <w:r w:rsidRPr="00A22350">
        <w:rPr>
          <w:rFonts w:ascii="Lato" w:eastAsia="Times New Roman" w:hAnsi="Lato" w:cs="Times New Roman"/>
          <w:color w:val="0C0C0F"/>
          <w:kern w:val="0"/>
          <w:lang w:eastAsia="it-IT"/>
          <w14:ligatures w14:val="none"/>
        </w:rPr>
        <w:t>. Tuttavia, il </w:t>
      </w:r>
      <w:r w:rsidRPr="00A22350">
        <w:rPr>
          <w:rFonts w:ascii="Lato" w:eastAsia="Times New Roman" w:hAnsi="Lato" w:cs="Times New Roman"/>
          <w:b/>
          <w:bCs/>
          <w:color w:val="0C0C0F"/>
          <w:kern w:val="0"/>
          <w:lang w:eastAsia="it-IT"/>
          <w14:ligatures w14:val="none"/>
        </w:rPr>
        <w:t>principio di localizzazione nazionale mantiene una propria valenza generale</w:t>
      </w:r>
      <w:r w:rsidRPr="00A22350">
        <w:rPr>
          <w:rFonts w:ascii="Lato" w:eastAsia="Times New Roman" w:hAnsi="Lato" w:cs="Times New Roman"/>
          <w:color w:val="0C0C0F"/>
          <w:kern w:val="0"/>
          <w:lang w:eastAsia="it-IT"/>
          <w14:ligatures w14:val="none"/>
        </w:rPr>
        <w:t> alla luce del disposto dell’art. 5, che impone agli enti pubblici di privilegiare fornitori di soluzioni che garantiscono la localizzazione e l’elaborazione dei dati strategici presso data center posti nel territorio nazionale. Questa tendenza è coerente con lo sviluppo della normativa UE in tema di dati: l’art. 4, c. 1., del </w:t>
      </w:r>
      <w:hyperlink r:id="rId8" w:tgtFrame="_blank" w:tooltip="10LX0000870428SOMM" w:history="1">
        <w:r w:rsidRPr="00A22350">
          <w:rPr>
            <w:rFonts w:ascii="Lato" w:eastAsia="Times New Roman" w:hAnsi="Lato" w:cs="Times New Roman"/>
            <w:color w:val="54960D"/>
            <w:kern w:val="0"/>
            <w:u w:val="single"/>
            <w:lang w:eastAsia="it-IT"/>
            <w14:ligatures w14:val="none"/>
          </w:rPr>
          <w:t>Regolamento 2018/1807</w:t>
        </w:r>
      </w:hyperlink>
      <w:r w:rsidRPr="00A22350">
        <w:rPr>
          <w:rFonts w:ascii="Lato" w:eastAsia="Times New Roman" w:hAnsi="Lato" w:cs="Times New Roman"/>
          <w:color w:val="0C0C0F"/>
          <w:kern w:val="0"/>
          <w:lang w:eastAsia="it-IT"/>
          <w14:ligatures w14:val="none"/>
        </w:rPr>
        <w:t> sulla circolazione dei dati non personali, nel vietare i sistemi di localizzazione dei dati, fa salve le ragioni di sicurezza pubblica nel rispetto del principio di proporzionalità; del pari, i </w:t>
      </w:r>
      <w:hyperlink r:id="rId9" w:tgtFrame="_blank" w:tooltip="10LX0000927903SOMM" w:history="1">
        <w:r w:rsidRPr="00A22350">
          <w:rPr>
            <w:rFonts w:ascii="Lato" w:eastAsia="Times New Roman" w:hAnsi="Lato" w:cs="Times New Roman"/>
            <w:color w:val="54960D"/>
            <w:kern w:val="0"/>
            <w:u w:val="single"/>
            <w:lang w:eastAsia="it-IT"/>
            <w14:ligatures w14:val="none"/>
          </w:rPr>
          <w:t>Regolamenti 2022/868</w:t>
        </w:r>
      </w:hyperlink>
      <w:r w:rsidRPr="00A22350">
        <w:rPr>
          <w:rFonts w:ascii="Lato" w:eastAsia="Times New Roman" w:hAnsi="Lato" w:cs="Times New Roman"/>
          <w:color w:val="0C0C0F"/>
          <w:kern w:val="0"/>
          <w:lang w:eastAsia="it-IT"/>
          <w14:ligatures w14:val="none"/>
        </w:rPr>
        <w:t xml:space="preserve">Data Governance Act, 2023/2854 Data Act e 2025/327 </w:t>
      </w:r>
      <w:proofErr w:type="spellStart"/>
      <w:r w:rsidRPr="00A22350">
        <w:rPr>
          <w:rFonts w:ascii="Lato" w:eastAsia="Times New Roman" w:hAnsi="Lato" w:cs="Times New Roman"/>
          <w:color w:val="0C0C0F"/>
          <w:kern w:val="0"/>
          <w:lang w:eastAsia="it-IT"/>
          <w14:ligatures w14:val="none"/>
        </w:rPr>
        <w:t>European</w:t>
      </w:r>
      <w:proofErr w:type="spellEnd"/>
      <w:r w:rsidRPr="00A22350">
        <w:rPr>
          <w:rFonts w:ascii="Lato" w:eastAsia="Times New Roman" w:hAnsi="Lato" w:cs="Times New Roman"/>
          <w:color w:val="0C0C0F"/>
          <w:kern w:val="0"/>
          <w:lang w:eastAsia="it-IT"/>
          <w14:ligatures w14:val="none"/>
        </w:rPr>
        <w:t xml:space="preserve"> Health Data Space, contemplano la possibilità di restrizioni - e dunque anche di possibili vincoli di data </w:t>
      </w:r>
      <w:proofErr w:type="spellStart"/>
      <w:r w:rsidRPr="00A22350">
        <w:rPr>
          <w:rFonts w:ascii="Lato" w:eastAsia="Times New Roman" w:hAnsi="Lato" w:cs="Times New Roman"/>
          <w:color w:val="0C0C0F"/>
          <w:kern w:val="0"/>
          <w:lang w:eastAsia="it-IT"/>
          <w14:ligatures w14:val="none"/>
        </w:rPr>
        <w:t>localization</w:t>
      </w:r>
      <w:proofErr w:type="spellEnd"/>
      <w:r w:rsidRPr="00A22350">
        <w:rPr>
          <w:rFonts w:ascii="Lato" w:eastAsia="Times New Roman" w:hAnsi="Lato" w:cs="Times New Roman"/>
          <w:color w:val="0C0C0F"/>
          <w:kern w:val="0"/>
          <w:lang w:eastAsia="it-IT"/>
          <w14:ligatures w14:val="none"/>
        </w:rPr>
        <w:t xml:space="preserve"> - alla circolazione transfrontaliera dei dati non personali per ragioni di interesse pubblico rilevante.</w:t>
      </w:r>
    </w:p>
    <w:p w14:paraId="0E89DDD7" w14:textId="77777777" w:rsidR="00A22350" w:rsidRPr="00A22350" w:rsidRDefault="00A22350" w:rsidP="00A22350">
      <w:pPr>
        <w:spacing w:line="360" w:lineRule="auto"/>
        <w:jc w:val="both"/>
        <w:rPr>
          <w:rFonts w:ascii="Times New Roman" w:eastAsia="Times New Roman" w:hAnsi="Times New Roman" w:cs="Times New Roman"/>
          <w:color w:val="515151"/>
          <w:kern w:val="0"/>
          <w:shd w:val="clear" w:color="auto" w:fill="FFFFFF"/>
          <w:lang w:eastAsia="it-IT"/>
          <w14:ligatures w14:val="none"/>
        </w:rPr>
      </w:pPr>
    </w:p>
    <w:p w14:paraId="05359DAE" w14:textId="77777777" w:rsidR="00A22350" w:rsidRPr="00A22350" w:rsidRDefault="00A22350" w:rsidP="00A22350">
      <w:pPr>
        <w:spacing w:line="360" w:lineRule="auto"/>
        <w:jc w:val="both"/>
        <w:outlineLvl w:val="1"/>
        <w:rPr>
          <w:rFonts w:ascii="Lato" w:eastAsia="Times New Roman" w:hAnsi="Lato" w:cs="Times New Roman"/>
          <w:b/>
          <w:bCs/>
          <w:color w:val="0C0C0F"/>
          <w:kern w:val="0"/>
          <w:sz w:val="36"/>
          <w:szCs w:val="36"/>
          <w:lang w:eastAsia="it-IT"/>
          <w14:ligatures w14:val="none"/>
        </w:rPr>
      </w:pPr>
      <w:r w:rsidRPr="00A22350">
        <w:rPr>
          <w:rFonts w:ascii="Lato" w:eastAsia="Times New Roman" w:hAnsi="Lato" w:cs="Times New Roman"/>
          <w:b/>
          <w:bCs/>
          <w:color w:val="0C0C0F"/>
          <w:kern w:val="0"/>
          <w:sz w:val="36"/>
          <w:szCs w:val="36"/>
          <w:lang w:eastAsia="it-IT"/>
          <w14:ligatures w14:val="none"/>
        </w:rPr>
        <w:t>Sanità</w:t>
      </w:r>
    </w:p>
    <w:p w14:paraId="74EED920"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Gli artt. 7, 8, 9 e 10 della legge si occupano delle applicazioni di IA in ambito </w:t>
      </w:r>
      <w:r w:rsidRPr="00A22350">
        <w:rPr>
          <w:rFonts w:ascii="Lato" w:eastAsia="Times New Roman" w:hAnsi="Lato" w:cs="Times New Roman"/>
          <w:b/>
          <w:bCs/>
          <w:color w:val="0C0C0F"/>
          <w:kern w:val="0"/>
          <w:lang w:eastAsia="it-IT"/>
          <w14:ligatures w14:val="none"/>
        </w:rPr>
        <w:t>sanitario</w:t>
      </w:r>
      <w:r w:rsidRPr="00A22350">
        <w:rPr>
          <w:rFonts w:ascii="Lato" w:eastAsia="Times New Roman" w:hAnsi="Lato" w:cs="Times New Roman"/>
          <w:color w:val="0C0C0F"/>
          <w:kern w:val="0"/>
          <w:lang w:eastAsia="it-IT"/>
          <w14:ligatures w14:val="none"/>
        </w:rPr>
        <w:t>. L’art. 7 stabilisce </w:t>
      </w:r>
      <w:r w:rsidRPr="00A22350">
        <w:rPr>
          <w:rFonts w:ascii="Lato" w:eastAsia="Times New Roman" w:hAnsi="Lato" w:cs="Times New Roman"/>
          <w:b/>
          <w:bCs/>
          <w:color w:val="0C0C0F"/>
          <w:kern w:val="0"/>
          <w:lang w:eastAsia="it-IT"/>
          <w14:ligatures w14:val="none"/>
        </w:rPr>
        <w:t>principi condivisibili</w:t>
      </w:r>
      <w:r w:rsidRPr="00A22350">
        <w:rPr>
          <w:rFonts w:ascii="Lato" w:eastAsia="Times New Roman" w:hAnsi="Lato" w:cs="Times New Roman"/>
          <w:color w:val="0C0C0F"/>
          <w:kern w:val="0"/>
          <w:lang w:eastAsia="it-IT"/>
          <w14:ligatures w14:val="none"/>
        </w:rPr>
        <w:t> per l’uso dell’IA in sanità, come quelli di non discriminazione, informazione e trasparenza, inclusione sociale, imprescindibilità della decisione umana, accuratezza e sicurezza dei sistemi. Tuttavia, sarebbe stato auspicabile un migliore coordinamento con l’AI Act per integrare prescrizioni più specifiche sulla qualità dei dati, tra cui la preferenza per i dati sintetici e anonimizzati.</w:t>
      </w:r>
    </w:p>
    <w:p w14:paraId="0A0C9451"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L’art. 8 è volto a </w:t>
      </w:r>
      <w:r w:rsidRPr="00A22350">
        <w:rPr>
          <w:rFonts w:ascii="Lato" w:eastAsia="Times New Roman" w:hAnsi="Lato" w:cs="Times New Roman"/>
          <w:b/>
          <w:bCs/>
          <w:color w:val="0C0C0F"/>
          <w:kern w:val="0"/>
          <w:lang w:eastAsia="it-IT"/>
          <w14:ligatures w14:val="none"/>
        </w:rPr>
        <w:t>consentire entro più ampi margini il trattamento di dati, personali</w:t>
      </w:r>
      <w:r w:rsidRPr="00A22350">
        <w:rPr>
          <w:rFonts w:ascii="Lato" w:eastAsia="Times New Roman" w:hAnsi="Lato" w:cs="Times New Roman"/>
          <w:color w:val="0C0C0F"/>
          <w:kern w:val="0"/>
          <w:lang w:eastAsia="it-IT"/>
          <w14:ligatures w14:val="none"/>
        </w:rPr>
        <w:t xml:space="preserve"> e non personali, per la realizzazione di sistemi di IA in ambito sanitario. Il comma 1 dichiara di “rilevante interesse pubblico” i trattamenti di dati finalizzati alla ricerca e sperimentazione scientifica per lo sviluppo di sistemi di IA in ambito sanitario. Nonostante la sua utilità, la </w:t>
      </w:r>
      <w:r w:rsidRPr="00A22350">
        <w:rPr>
          <w:rFonts w:ascii="Lato" w:eastAsia="Times New Roman" w:hAnsi="Lato" w:cs="Times New Roman"/>
          <w:color w:val="0C0C0F"/>
          <w:kern w:val="0"/>
          <w:lang w:eastAsia="it-IT"/>
          <w14:ligatures w14:val="none"/>
        </w:rPr>
        <w:lastRenderedPageBreak/>
        <w:t>norma si presta a qualche rilievo critico per la sua insufficiente determinatezza, non individuando puntualmente i trattamenti, le fonti dei dati e la qualifica dei ricercatori abilitati. </w:t>
      </w:r>
    </w:p>
    <w:p w14:paraId="32957613" w14:textId="1D3D4A2A" w:rsidR="00A22350" w:rsidRPr="00A22350" w:rsidRDefault="00A22350" w:rsidP="00A22350">
      <w:pPr>
        <w:spacing w:line="360" w:lineRule="auto"/>
        <w:jc w:val="both"/>
        <w:rPr>
          <w:rFonts w:ascii="Times New Roman" w:eastAsia="Times New Roman" w:hAnsi="Times New Roman" w:cs="Times New Roman"/>
          <w:color w:val="515151"/>
          <w:kern w:val="0"/>
          <w:shd w:val="clear" w:color="auto" w:fill="FFFFFF"/>
          <w:lang w:eastAsia="it-IT"/>
          <w14:ligatures w14:val="none"/>
        </w:rPr>
      </w:pPr>
      <w:r w:rsidRPr="00A22350">
        <w:rPr>
          <w:rFonts w:ascii="Lato" w:eastAsia="Times New Roman" w:hAnsi="Lato" w:cs="Times New Roman"/>
          <w:color w:val="0C0C0F"/>
          <w:kern w:val="0"/>
          <w:lang w:eastAsia="it-IT"/>
          <w14:ligatures w14:val="none"/>
        </w:rPr>
        <w:t>Il </w:t>
      </w:r>
      <w:r w:rsidRPr="00A22350">
        <w:rPr>
          <w:rFonts w:ascii="Lato" w:eastAsia="Times New Roman" w:hAnsi="Lato" w:cs="Times New Roman"/>
          <w:b/>
          <w:bCs/>
          <w:color w:val="0C0C0F"/>
          <w:kern w:val="0"/>
          <w:lang w:eastAsia="it-IT"/>
          <w14:ligatures w14:val="none"/>
        </w:rPr>
        <w:t>principio di “rilevante interesse pubblico”</w:t>
      </w:r>
      <w:r w:rsidRPr="00A22350">
        <w:rPr>
          <w:rFonts w:ascii="Lato" w:eastAsia="Times New Roman" w:hAnsi="Lato" w:cs="Times New Roman"/>
          <w:color w:val="0C0C0F"/>
          <w:kern w:val="0"/>
          <w:lang w:eastAsia="it-IT"/>
          <w14:ligatures w14:val="none"/>
        </w:rPr>
        <w:t> è comunque condivisibile e in linea con il </w:t>
      </w:r>
      <w:hyperlink r:id="rId10" w:tgtFrame="_blank" w:tooltip="10LX0000978237SOMM" w:history="1">
        <w:r w:rsidRPr="00A22350">
          <w:rPr>
            <w:rFonts w:ascii="Lato" w:eastAsia="Times New Roman" w:hAnsi="Lato" w:cs="Times New Roman"/>
            <w:color w:val="54960D"/>
            <w:kern w:val="0"/>
            <w:u w:val="single"/>
            <w:lang w:eastAsia="it-IT"/>
            <w14:ligatures w14:val="none"/>
          </w:rPr>
          <w:t>Regolamento 2025/327</w:t>
        </w:r>
      </w:hyperlink>
      <w:r w:rsidRPr="00A22350">
        <w:rPr>
          <w:rFonts w:ascii="Lato" w:eastAsia="Times New Roman" w:hAnsi="Lato" w:cs="Times New Roman"/>
          <w:color w:val="0C0C0F"/>
          <w:kern w:val="0"/>
          <w:lang w:eastAsia="it-IT"/>
          <w14:ligatures w14:val="none"/>
        </w:rPr>
        <w:t> sullo spazio comune europeo dei dati sanitari; in ogni caso, tali trattamenti richiedono la previa approvazione dei comitati etici interessati e la comunicazione preventiva al Garante con le informazioni previste dagli </w:t>
      </w:r>
      <w:hyperlink r:id="rId11" w:tgtFrame="_blank" w:tooltip="10LX0000828463ART85" w:history="1">
        <w:r w:rsidRPr="00A22350">
          <w:rPr>
            <w:rFonts w:ascii="Lato" w:eastAsia="Times New Roman" w:hAnsi="Lato" w:cs="Times New Roman"/>
            <w:color w:val="54960D"/>
            <w:kern w:val="0"/>
            <w:u w:val="single"/>
            <w:lang w:eastAsia="it-IT"/>
            <w14:ligatures w14:val="none"/>
          </w:rPr>
          <w:t>artt. 24</w:t>
        </w:r>
      </w:hyperlink>
      <w:r w:rsidRPr="00A22350">
        <w:rPr>
          <w:rFonts w:ascii="Lato" w:eastAsia="Times New Roman" w:hAnsi="Lato" w:cs="Times New Roman"/>
          <w:color w:val="0C0C0F"/>
          <w:kern w:val="0"/>
          <w:lang w:eastAsia="it-IT"/>
          <w14:ligatures w14:val="none"/>
        </w:rPr>
        <w:t>, </w:t>
      </w:r>
      <w:hyperlink r:id="rId12" w:tgtFrame="_blank" w:tooltip="10LX0000828463ART86" w:history="1">
        <w:r w:rsidRPr="00A22350">
          <w:rPr>
            <w:rFonts w:ascii="Lato" w:eastAsia="Times New Roman" w:hAnsi="Lato" w:cs="Times New Roman"/>
            <w:color w:val="54960D"/>
            <w:kern w:val="0"/>
            <w:u w:val="single"/>
            <w:lang w:eastAsia="it-IT"/>
            <w14:ligatures w14:val="none"/>
          </w:rPr>
          <w:t>25</w:t>
        </w:r>
      </w:hyperlink>
      <w:r w:rsidRPr="00A22350">
        <w:rPr>
          <w:rFonts w:ascii="Lato" w:eastAsia="Times New Roman" w:hAnsi="Lato" w:cs="Times New Roman"/>
          <w:color w:val="0C0C0F"/>
          <w:kern w:val="0"/>
          <w:lang w:eastAsia="it-IT"/>
          <w14:ligatures w14:val="none"/>
        </w:rPr>
        <w:t>, </w:t>
      </w:r>
      <w:hyperlink r:id="rId13" w:tgtFrame="_blank" w:tooltip="10LX0000828463ART96" w:history="1">
        <w:r w:rsidRPr="00A22350">
          <w:rPr>
            <w:rFonts w:ascii="Lato" w:eastAsia="Times New Roman" w:hAnsi="Lato" w:cs="Times New Roman"/>
            <w:color w:val="54960D"/>
            <w:kern w:val="0"/>
            <w:u w:val="single"/>
            <w:lang w:eastAsia="it-IT"/>
            <w14:ligatures w14:val="none"/>
          </w:rPr>
          <w:t>32</w:t>
        </w:r>
      </w:hyperlink>
      <w:r w:rsidRPr="00A22350">
        <w:rPr>
          <w:rFonts w:ascii="Lato" w:eastAsia="Times New Roman" w:hAnsi="Lato" w:cs="Times New Roman"/>
          <w:color w:val="0C0C0F"/>
          <w:kern w:val="0"/>
          <w:lang w:eastAsia="it-IT"/>
          <w14:ligatures w14:val="none"/>
        </w:rPr>
        <w:t> e </w:t>
      </w:r>
      <w:hyperlink r:id="rId14" w:tgtFrame="_blank" w:tooltip="10LX0000828463ART102" w:history="1">
        <w:r w:rsidRPr="00A22350">
          <w:rPr>
            <w:rFonts w:ascii="Lato" w:eastAsia="Times New Roman" w:hAnsi="Lato" w:cs="Times New Roman"/>
            <w:color w:val="54960D"/>
            <w:kern w:val="0"/>
            <w:u w:val="single"/>
            <w:lang w:eastAsia="it-IT"/>
            <w14:ligatures w14:val="none"/>
          </w:rPr>
          <w:t>35</w:t>
        </w:r>
      </w:hyperlink>
      <w:r>
        <w:rPr>
          <w:rFonts w:ascii="Times New Roman" w:eastAsia="Times New Roman" w:hAnsi="Times New Roman" w:cs="Times New Roman"/>
          <w:color w:val="515151"/>
          <w:kern w:val="0"/>
          <w:shd w:val="clear" w:color="auto" w:fill="FFFFFF"/>
          <w:lang w:eastAsia="it-IT"/>
          <w14:ligatures w14:val="none"/>
        </w:rPr>
        <w:t xml:space="preserve"> </w:t>
      </w:r>
      <w:hyperlink r:id="rId15" w:tgtFrame="_blank" w:tooltip="10LX0000828463SOMM" w:history="1">
        <w:r w:rsidRPr="00A22350">
          <w:rPr>
            <w:rFonts w:ascii="Lato" w:eastAsia="Times New Roman" w:hAnsi="Lato" w:cs="Times New Roman"/>
            <w:color w:val="54960D"/>
            <w:kern w:val="0"/>
            <w:u w:val="single"/>
            <w:lang w:eastAsia="it-IT"/>
            <w14:ligatures w14:val="none"/>
          </w:rPr>
          <w:t>GDPR</w:t>
        </w:r>
      </w:hyperlink>
      <w:r w:rsidRPr="00A22350">
        <w:rPr>
          <w:rFonts w:ascii="Lato" w:eastAsia="Times New Roman" w:hAnsi="Lato" w:cs="Times New Roman"/>
          <w:color w:val="0C0C0F"/>
          <w:kern w:val="0"/>
          <w:lang w:eastAsia="it-IT"/>
          <w14:ligatures w14:val="none"/>
        </w:rPr>
        <w:t>.</w:t>
      </w:r>
    </w:p>
    <w:p w14:paraId="5F366C82" w14:textId="5352E5E7" w:rsidR="00A22350" w:rsidRPr="00A22350" w:rsidRDefault="00A22350" w:rsidP="00A22350">
      <w:pPr>
        <w:spacing w:line="360" w:lineRule="auto"/>
        <w:jc w:val="both"/>
        <w:rPr>
          <w:rFonts w:ascii="Times New Roman" w:eastAsia="Times New Roman" w:hAnsi="Times New Roman" w:cs="Times New Roman"/>
          <w:color w:val="515151"/>
          <w:kern w:val="0"/>
          <w:shd w:val="clear" w:color="auto" w:fill="FFFFFF"/>
          <w:lang w:eastAsia="it-IT"/>
          <w14:ligatures w14:val="none"/>
        </w:rPr>
      </w:pPr>
      <w:r w:rsidRPr="00A22350">
        <w:rPr>
          <w:rFonts w:ascii="Lato" w:eastAsia="Times New Roman" w:hAnsi="Lato" w:cs="Times New Roman"/>
          <w:color w:val="0C0C0F"/>
          <w:kern w:val="0"/>
          <w:lang w:eastAsia="it-IT"/>
          <w14:ligatures w14:val="none"/>
        </w:rPr>
        <w:t>Il comma 2 dell’art. 8 legittima l’</w:t>
      </w:r>
      <w:r w:rsidRPr="00A22350">
        <w:rPr>
          <w:rFonts w:ascii="Lato" w:eastAsia="Times New Roman" w:hAnsi="Lato" w:cs="Times New Roman"/>
          <w:b/>
          <w:bCs/>
          <w:color w:val="0C0C0F"/>
          <w:kern w:val="0"/>
          <w:lang w:eastAsia="it-IT"/>
          <w14:ligatures w14:val="none"/>
        </w:rPr>
        <w:t>uso secondario di dati personali privi di elementi identificativi diretti per scopi di ricerca e sperimentazione</w:t>
      </w:r>
      <w:r w:rsidRPr="00A22350">
        <w:rPr>
          <w:rFonts w:ascii="Lato" w:eastAsia="Times New Roman" w:hAnsi="Lato" w:cs="Times New Roman"/>
          <w:color w:val="0C0C0F"/>
          <w:kern w:val="0"/>
          <w:lang w:eastAsia="it-IT"/>
          <w14:ligatures w14:val="none"/>
        </w:rPr>
        <w:t xml:space="preserve">, eliminando il requisito del consenso preventivo dell’interessato. Le maggiori criticità di questa norma attengono ai caratteri dell’informativa (una mera informativa generale sul sito web del titolare del trattamento è ritenuta sufficiente a integrare i requisiti di legge), alla mancata previsione di un principio di minimizzazione dei dati, all’assenza di divieti di uso secondario, nonché di un diritto di </w:t>
      </w:r>
      <w:proofErr w:type="spellStart"/>
      <w:r w:rsidRPr="00A22350">
        <w:rPr>
          <w:rFonts w:ascii="Lato" w:eastAsia="Times New Roman" w:hAnsi="Lato" w:cs="Times New Roman"/>
          <w:color w:val="0C0C0F"/>
          <w:kern w:val="0"/>
          <w:lang w:eastAsia="it-IT"/>
          <w14:ligatures w14:val="none"/>
        </w:rPr>
        <w:t>opt</w:t>
      </w:r>
      <w:proofErr w:type="spellEnd"/>
      <w:r w:rsidRPr="00A22350">
        <w:rPr>
          <w:rFonts w:ascii="Lato" w:eastAsia="Times New Roman" w:hAnsi="Lato" w:cs="Times New Roman"/>
          <w:color w:val="0C0C0F"/>
          <w:kern w:val="0"/>
          <w:lang w:eastAsia="it-IT"/>
          <w14:ligatures w14:val="none"/>
        </w:rPr>
        <w:t>-out, quali invece previsti dal </w:t>
      </w:r>
      <w:hyperlink r:id="rId16" w:tgtFrame="_blank" w:tooltip="10LX0000978237SOMM" w:history="1">
        <w:r w:rsidRPr="00A22350">
          <w:rPr>
            <w:rFonts w:ascii="Lato" w:eastAsia="Times New Roman" w:hAnsi="Lato" w:cs="Times New Roman"/>
            <w:color w:val="54960D"/>
            <w:kern w:val="0"/>
            <w:u w:val="single"/>
            <w:lang w:eastAsia="it-IT"/>
            <w14:ligatures w14:val="none"/>
          </w:rPr>
          <w:t>Regolamento UE 2025/327</w:t>
        </w:r>
      </w:hyperlink>
      <w:r w:rsidRPr="00A22350">
        <w:rPr>
          <w:rFonts w:ascii="Lato" w:eastAsia="Times New Roman" w:hAnsi="Lato" w:cs="Times New Roman"/>
          <w:color w:val="0C0C0F"/>
          <w:kern w:val="0"/>
          <w:lang w:eastAsia="it-IT"/>
          <w14:ligatures w14:val="none"/>
        </w:rPr>
        <w:t> sullo spazio comune europeo dei dati sanitari.</w:t>
      </w:r>
    </w:p>
    <w:p w14:paraId="45ED944A" w14:textId="77777777" w:rsid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Il comma 3 dell’art. 8 consente, previa informativa all’interessato, il “</w:t>
      </w:r>
      <w:r w:rsidRPr="00A22350">
        <w:rPr>
          <w:rFonts w:ascii="Lato" w:eastAsia="Times New Roman" w:hAnsi="Lato" w:cs="Times New Roman"/>
          <w:b/>
          <w:bCs/>
          <w:color w:val="0C0C0F"/>
          <w:kern w:val="0"/>
          <w:lang w:eastAsia="it-IT"/>
          <w14:ligatures w14:val="none"/>
        </w:rPr>
        <w:t>trattamento per finalità di anonimizzazione, pseudonimizzazione o sintetizzazione dei dati personali</w:t>
      </w:r>
      <w:r w:rsidRPr="00A22350">
        <w:rPr>
          <w:rFonts w:ascii="Lato" w:eastAsia="Times New Roman" w:hAnsi="Lato" w:cs="Times New Roman"/>
          <w:color w:val="0C0C0F"/>
          <w:kern w:val="0"/>
          <w:lang w:eastAsia="it-IT"/>
          <w14:ligatures w14:val="none"/>
        </w:rPr>
        <w:t>”, </w:t>
      </w:r>
      <w:r w:rsidRPr="00A22350">
        <w:rPr>
          <w:rFonts w:ascii="Lato" w:eastAsia="Times New Roman" w:hAnsi="Lato" w:cs="Times New Roman"/>
          <w:b/>
          <w:bCs/>
          <w:color w:val="0C0C0F"/>
          <w:kern w:val="0"/>
          <w:lang w:eastAsia="it-IT"/>
          <w14:ligatures w14:val="none"/>
        </w:rPr>
        <w:t>inclusi i dati particolari</w:t>
      </w:r>
      <w:r w:rsidRPr="00A22350">
        <w:rPr>
          <w:rFonts w:ascii="Lato" w:eastAsia="Times New Roman" w:hAnsi="Lato" w:cs="Times New Roman"/>
          <w:color w:val="0C0C0F"/>
          <w:kern w:val="0"/>
          <w:lang w:eastAsia="it-IT"/>
          <w14:ligatures w14:val="none"/>
        </w:rPr>
        <w:t>, autorizzando altresì il trattamento per lo studio e la ricerca sui </w:t>
      </w:r>
      <w:r w:rsidRPr="00A22350">
        <w:rPr>
          <w:rFonts w:ascii="Lato" w:eastAsia="Times New Roman" w:hAnsi="Lato" w:cs="Times New Roman"/>
          <w:b/>
          <w:bCs/>
          <w:color w:val="0C0C0F"/>
          <w:kern w:val="0"/>
          <w:lang w:eastAsia="it-IT"/>
          <w14:ligatures w14:val="none"/>
        </w:rPr>
        <w:t>gesti atletici</w:t>
      </w:r>
      <w:r w:rsidRPr="00A22350">
        <w:rPr>
          <w:rFonts w:ascii="Lato" w:eastAsia="Times New Roman" w:hAnsi="Lato" w:cs="Times New Roman"/>
          <w:color w:val="0C0C0F"/>
          <w:kern w:val="0"/>
          <w:lang w:eastAsia="it-IT"/>
          <w14:ligatures w14:val="none"/>
        </w:rPr>
        <w:t>, sui movimenti e sulle prestazioni nell’attività sportiva in tutte le sue forme. A tal riguardo si deve notare che l’espressione “</w:t>
      </w:r>
      <w:r w:rsidRPr="00A22350">
        <w:rPr>
          <w:rFonts w:ascii="Lato" w:eastAsia="Times New Roman" w:hAnsi="Lato" w:cs="Times New Roman"/>
          <w:b/>
          <w:bCs/>
          <w:color w:val="0C0C0F"/>
          <w:kern w:val="0"/>
          <w:lang w:eastAsia="it-IT"/>
          <w14:ligatures w14:val="none"/>
        </w:rPr>
        <w:t>attività sportiva in tutte le sue forme</w:t>
      </w:r>
      <w:r w:rsidRPr="00A22350">
        <w:rPr>
          <w:rFonts w:ascii="Lato" w:eastAsia="Times New Roman" w:hAnsi="Lato" w:cs="Times New Roman"/>
          <w:color w:val="0C0C0F"/>
          <w:kern w:val="0"/>
          <w:lang w:eastAsia="it-IT"/>
          <w14:ligatures w14:val="none"/>
        </w:rPr>
        <w:t>” è </w:t>
      </w:r>
      <w:r w:rsidRPr="00A22350">
        <w:rPr>
          <w:rFonts w:ascii="Lato" w:eastAsia="Times New Roman" w:hAnsi="Lato" w:cs="Times New Roman"/>
          <w:b/>
          <w:bCs/>
          <w:color w:val="0C0C0F"/>
          <w:kern w:val="0"/>
          <w:lang w:eastAsia="it-IT"/>
          <w14:ligatures w14:val="none"/>
        </w:rPr>
        <w:t>eccessivamente ampia</w:t>
      </w:r>
      <w:r w:rsidRPr="00A22350">
        <w:rPr>
          <w:rFonts w:ascii="Lato" w:eastAsia="Times New Roman" w:hAnsi="Lato" w:cs="Times New Roman"/>
          <w:color w:val="0C0C0F"/>
          <w:kern w:val="0"/>
          <w:lang w:eastAsia="it-IT"/>
          <w14:ligatures w14:val="none"/>
        </w:rPr>
        <w:t> e indeterminata. Stando alla lettera della legge, potrebbe essere sussunta all’interno di tale categoria non soltanto l’attività sportiva svolta in forma professionale, ma anche quella agonistica non professionale, e persino l’attività puramente dilettantistica. Se si considera l’ampiezza del pubblico coinvolto, che include evidentemente anche minori e soggetti vulnerabili (si pensi ai portatori di disabilità impegnati in prestazioni sportive dilettantistiche o anche agonistiche), sarebbe stato legittimo attendersi una maggiore attenzione nel circondare una siffatta regola permissiva di presidi e garanzie adeguate, sia sul piano soggettivo sia su quello oggettivo. Tale rilievo risulta ulteriormente rafforzato dal confronto con la precisazione contenuta nell’ultima parte della disposizione in oggetto. Il legislatore fa infatti </w:t>
      </w:r>
      <w:r w:rsidRPr="00A22350">
        <w:rPr>
          <w:rFonts w:ascii="Lato" w:eastAsia="Times New Roman" w:hAnsi="Lato" w:cs="Times New Roman"/>
          <w:b/>
          <w:bCs/>
          <w:color w:val="0C0C0F"/>
          <w:kern w:val="0"/>
          <w:lang w:eastAsia="it-IT"/>
          <w14:ligatures w14:val="none"/>
        </w:rPr>
        <w:t>espressamente salvi i “diritti di sfruttamento economico dei dati relativi alle attività agonistiche che spettano a chi le organizza”</w:t>
      </w:r>
      <w:r w:rsidRPr="00A22350">
        <w:rPr>
          <w:rFonts w:ascii="Lato" w:eastAsia="Times New Roman" w:hAnsi="Lato" w:cs="Times New Roman"/>
          <w:color w:val="0C0C0F"/>
          <w:kern w:val="0"/>
          <w:lang w:eastAsia="it-IT"/>
          <w14:ligatures w14:val="none"/>
        </w:rPr>
        <w:t>. Dunque, </w:t>
      </w:r>
      <w:r w:rsidRPr="00A22350">
        <w:rPr>
          <w:rFonts w:ascii="Lato" w:eastAsia="Times New Roman" w:hAnsi="Lato" w:cs="Times New Roman"/>
          <w:b/>
          <w:bCs/>
          <w:color w:val="0C0C0F"/>
          <w:kern w:val="0"/>
          <w:lang w:eastAsia="it-IT"/>
          <w14:ligatures w14:val="none"/>
        </w:rPr>
        <w:t>i diritti di sfruttamento economico godono di una tutela espressa</w:t>
      </w:r>
      <w:r w:rsidRPr="00A22350">
        <w:rPr>
          <w:rFonts w:ascii="Lato" w:eastAsia="Times New Roman" w:hAnsi="Lato" w:cs="Times New Roman"/>
          <w:color w:val="0C0C0F"/>
          <w:kern w:val="0"/>
          <w:lang w:eastAsia="it-IT"/>
          <w14:ligatures w14:val="none"/>
        </w:rPr>
        <w:t>, mentre </w:t>
      </w:r>
      <w:r w:rsidRPr="00A22350">
        <w:rPr>
          <w:rFonts w:ascii="Lato" w:eastAsia="Times New Roman" w:hAnsi="Lato" w:cs="Times New Roman"/>
          <w:b/>
          <w:bCs/>
          <w:color w:val="0C0C0F"/>
          <w:kern w:val="0"/>
          <w:lang w:eastAsia="it-IT"/>
          <w14:ligatures w14:val="none"/>
        </w:rPr>
        <w:t>nessuna garanzia è direttamente formulata in relazione ai diritti di natura personale dei soggetti</w:t>
      </w:r>
      <w:r w:rsidRPr="00A22350">
        <w:rPr>
          <w:rFonts w:ascii="Lato" w:eastAsia="Times New Roman" w:hAnsi="Lato" w:cs="Times New Roman"/>
          <w:color w:val="0C0C0F"/>
          <w:kern w:val="0"/>
          <w:lang w:eastAsia="it-IT"/>
          <w14:ligatures w14:val="none"/>
        </w:rPr>
        <w:t xml:space="preserve">, i cui dati sono utilizzati per finalità di ricerca e sperimentazione (primo tra tutti il diritto di esclusione dell’uso secondario). Non </w:t>
      </w:r>
      <w:r w:rsidRPr="00A22350">
        <w:rPr>
          <w:rFonts w:ascii="Lato" w:eastAsia="Times New Roman" w:hAnsi="Lato" w:cs="Times New Roman"/>
          <w:color w:val="0C0C0F"/>
          <w:kern w:val="0"/>
          <w:lang w:eastAsia="it-IT"/>
          <w14:ligatures w14:val="none"/>
        </w:rPr>
        <w:lastRenderedPageBreak/>
        <w:t>soltanto, </w:t>
      </w:r>
      <w:r w:rsidRPr="00A22350">
        <w:rPr>
          <w:rFonts w:ascii="Lato" w:eastAsia="Times New Roman" w:hAnsi="Lato" w:cs="Times New Roman"/>
          <w:b/>
          <w:bCs/>
          <w:color w:val="0C0C0F"/>
          <w:kern w:val="0"/>
          <w:lang w:eastAsia="it-IT"/>
          <w14:ligatures w14:val="none"/>
        </w:rPr>
        <w:t>il carattere asimmetrico della regolazione tocca anche il profilo dei diritti patrimoniali di sfruttamento della prestazione sportiva</w:t>
      </w:r>
      <w:r w:rsidRPr="00A22350">
        <w:rPr>
          <w:rFonts w:ascii="Lato" w:eastAsia="Times New Roman" w:hAnsi="Lato" w:cs="Times New Roman"/>
          <w:color w:val="0C0C0F"/>
          <w:kern w:val="0"/>
          <w:lang w:eastAsia="it-IT"/>
          <w14:ligatures w14:val="none"/>
        </w:rPr>
        <w:t>. Non si vede, infatti, per quale impellente ragione fosse necessario ascrivere protezione rafforzata, ai diritti dell’organizzatore di manifestazioni sportive, lasciando invece nell’ombra i pur legittimi diritti dell’atleta, specie se professionista. Delle due l’una: o la finalità è davvero di interesse generale (come prevede il comma 1 dell’art. 8), ed allora il riuso dovrebbe implicare una legittima compressione anche dei diritti degli organizzatori di manifestazioni sportive; o tale finalità non può spingersi sino a intaccare i diritti di sfruttamento economico della prestazione sportiva, ma allora a quel punto i legittimi interessi patrimoniali del singolo atleta (specie se noto al grande pubblico) meriterebbero considerazione analoga a quelli dell’organizzatore della manifestazione.</w:t>
      </w:r>
    </w:p>
    <w:p w14:paraId="3AFD46F5"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p>
    <w:p w14:paraId="465EA549" w14:textId="77777777" w:rsidR="00A22350" w:rsidRPr="00A22350" w:rsidRDefault="00A22350" w:rsidP="00A22350">
      <w:pPr>
        <w:spacing w:line="360" w:lineRule="auto"/>
        <w:jc w:val="both"/>
        <w:outlineLvl w:val="1"/>
        <w:rPr>
          <w:rFonts w:ascii="Lato" w:eastAsia="Times New Roman" w:hAnsi="Lato" w:cs="Times New Roman"/>
          <w:b/>
          <w:bCs/>
          <w:color w:val="0C0C0F"/>
          <w:kern w:val="0"/>
          <w:sz w:val="36"/>
          <w:szCs w:val="36"/>
          <w:lang w:eastAsia="it-IT"/>
          <w14:ligatures w14:val="none"/>
        </w:rPr>
      </w:pPr>
      <w:r w:rsidRPr="00A22350">
        <w:rPr>
          <w:rFonts w:ascii="Lato" w:eastAsia="Times New Roman" w:hAnsi="Lato" w:cs="Times New Roman"/>
          <w:b/>
          <w:bCs/>
          <w:color w:val="0C0C0F"/>
          <w:kern w:val="0"/>
          <w:sz w:val="36"/>
          <w:szCs w:val="36"/>
          <w:lang w:eastAsia="it-IT"/>
          <w14:ligatures w14:val="none"/>
        </w:rPr>
        <w:t>Diritto d’Autore</w:t>
      </w:r>
    </w:p>
    <w:p w14:paraId="37F7C985"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Il Capo IV (art. 25) è dedicato al </w:t>
      </w:r>
      <w:r w:rsidRPr="00A22350">
        <w:rPr>
          <w:rFonts w:ascii="Lato" w:eastAsia="Times New Roman" w:hAnsi="Lato" w:cs="Times New Roman"/>
          <w:b/>
          <w:bCs/>
          <w:color w:val="0C0C0F"/>
          <w:kern w:val="0"/>
          <w:lang w:eastAsia="it-IT"/>
          <w14:ligatures w14:val="none"/>
        </w:rPr>
        <w:t>diritto d’autore</w:t>
      </w:r>
      <w:r w:rsidRPr="00A22350">
        <w:rPr>
          <w:rFonts w:ascii="Lato" w:eastAsia="Times New Roman" w:hAnsi="Lato" w:cs="Times New Roman"/>
          <w:color w:val="0C0C0F"/>
          <w:kern w:val="0"/>
          <w:lang w:eastAsia="it-IT"/>
          <w14:ligatures w14:val="none"/>
        </w:rPr>
        <w:t>, che </w:t>
      </w:r>
      <w:r w:rsidRPr="00A22350">
        <w:rPr>
          <w:rFonts w:ascii="Lato" w:eastAsia="Times New Roman" w:hAnsi="Lato" w:cs="Times New Roman"/>
          <w:b/>
          <w:bCs/>
          <w:color w:val="0C0C0F"/>
          <w:kern w:val="0"/>
          <w:lang w:eastAsia="it-IT"/>
          <w14:ligatures w14:val="none"/>
        </w:rPr>
        <w:t>stabilisce che possano essere tutelate le opere “anche laddove create con l’ausilio di strumenti di intelligenza artificiale, purché il contributo umano sia creativo, rilevante e dimostrabile”</w:t>
      </w:r>
      <w:r w:rsidRPr="00A22350">
        <w:rPr>
          <w:rFonts w:ascii="Lato" w:eastAsia="Times New Roman" w:hAnsi="Lato" w:cs="Times New Roman"/>
          <w:color w:val="0C0C0F"/>
          <w:kern w:val="0"/>
          <w:lang w:eastAsia="it-IT"/>
          <w14:ligatures w14:val="none"/>
        </w:rPr>
        <w:t>. </w:t>
      </w:r>
    </w:p>
    <w:p w14:paraId="37FAD1A7"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La normativa unionale implica che l’autore debba essere un umano, così come confermato anche dalla giurisprudenza della Corte di Giustizia, secondo cui l’originalità di un’opera è riconosciuta quando è frutto di una creazione intellettuale umana. Analogamente, in casi come </w:t>
      </w:r>
      <w:r w:rsidRPr="00A22350">
        <w:rPr>
          <w:rFonts w:ascii="Lato" w:eastAsia="Times New Roman" w:hAnsi="Lato" w:cs="Times New Roman"/>
          <w:b/>
          <w:bCs/>
          <w:color w:val="0C0C0F"/>
          <w:kern w:val="0"/>
          <w:lang w:eastAsia="it-IT"/>
          <w14:ligatures w14:val="none"/>
        </w:rPr>
        <w:t xml:space="preserve">Thaler v. </w:t>
      </w:r>
      <w:proofErr w:type="spellStart"/>
      <w:r w:rsidRPr="00A22350">
        <w:rPr>
          <w:rFonts w:ascii="Lato" w:eastAsia="Times New Roman" w:hAnsi="Lato" w:cs="Times New Roman"/>
          <w:b/>
          <w:bCs/>
          <w:color w:val="0C0C0F"/>
          <w:kern w:val="0"/>
          <w:lang w:eastAsia="it-IT"/>
          <w14:ligatures w14:val="none"/>
        </w:rPr>
        <w:t>Perlmutter</w:t>
      </w:r>
      <w:proofErr w:type="spellEnd"/>
      <w:r w:rsidRPr="00A22350">
        <w:rPr>
          <w:rFonts w:ascii="Lato" w:eastAsia="Times New Roman" w:hAnsi="Lato" w:cs="Times New Roman"/>
          <w:color w:val="0C0C0F"/>
          <w:kern w:val="0"/>
          <w:lang w:eastAsia="it-IT"/>
          <w14:ligatures w14:val="none"/>
        </w:rPr>
        <w:t> negli Stati Uniti, sono stati negati diritti a opere create esclusivamente da sistemi di IA senza contributo umano. </w:t>
      </w:r>
    </w:p>
    <w:p w14:paraId="1C35498D" w14:textId="2E4AB50C" w:rsidR="00A22350" w:rsidRPr="00A22350" w:rsidRDefault="00A22350" w:rsidP="00A22350">
      <w:pPr>
        <w:spacing w:line="360" w:lineRule="auto"/>
        <w:jc w:val="both"/>
        <w:rPr>
          <w:rFonts w:ascii="Times New Roman" w:eastAsia="Times New Roman" w:hAnsi="Times New Roman" w:cs="Times New Roman"/>
          <w:color w:val="515151"/>
          <w:kern w:val="0"/>
          <w:shd w:val="clear" w:color="auto" w:fill="FFFFFF"/>
          <w:lang w:eastAsia="it-IT"/>
          <w14:ligatures w14:val="none"/>
        </w:rPr>
      </w:pPr>
      <w:r w:rsidRPr="00A22350">
        <w:rPr>
          <w:rFonts w:ascii="Lato" w:eastAsia="Times New Roman" w:hAnsi="Lato" w:cs="Times New Roman"/>
          <w:color w:val="0C0C0F"/>
          <w:kern w:val="0"/>
          <w:lang w:eastAsia="it-IT"/>
          <w14:ligatures w14:val="none"/>
        </w:rPr>
        <w:t>L’art. 70-septies </w:t>
      </w:r>
      <w:proofErr w:type="spellStart"/>
      <w:r w:rsidRPr="00A22350">
        <w:rPr>
          <w:rFonts w:ascii="Lato" w:eastAsia="Times New Roman" w:hAnsi="Lato" w:cs="Times New Roman"/>
          <w:color w:val="0C0C0F"/>
          <w:kern w:val="0"/>
          <w:lang w:eastAsia="it-IT"/>
          <w14:ligatures w14:val="none"/>
        </w:rPr>
        <w:fldChar w:fldCharType="begin"/>
      </w:r>
      <w:r w:rsidRPr="00A22350">
        <w:rPr>
          <w:rFonts w:ascii="Lato" w:eastAsia="Times New Roman" w:hAnsi="Lato" w:cs="Times New Roman"/>
          <w:color w:val="0C0C0F"/>
          <w:kern w:val="0"/>
          <w:lang w:eastAsia="it-IT"/>
          <w14:ligatures w14:val="none"/>
        </w:rPr>
        <w:instrText>HYPERLINK "https://onelegale.wolterskluwer.it/document/10LX0000101276SOMM" \o "10LX0000101276SOMM" \t "_blank"</w:instrText>
      </w:r>
      <w:r w:rsidRPr="00A22350">
        <w:rPr>
          <w:rFonts w:ascii="Lato" w:eastAsia="Times New Roman" w:hAnsi="Lato" w:cs="Times New Roman"/>
          <w:color w:val="0C0C0F"/>
          <w:kern w:val="0"/>
          <w:lang w:eastAsia="it-IT"/>
          <w14:ligatures w14:val="none"/>
        </w:rPr>
      </w:r>
      <w:r w:rsidRPr="00A22350">
        <w:rPr>
          <w:rFonts w:ascii="Lato" w:eastAsia="Times New Roman" w:hAnsi="Lato" w:cs="Times New Roman"/>
          <w:color w:val="0C0C0F"/>
          <w:kern w:val="0"/>
          <w:lang w:eastAsia="it-IT"/>
          <w14:ligatures w14:val="none"/>
        </w:rPr>
        <w:fldChar w:fldCharType="separate"/>
      </w:r>
      <w:r w:rsidRPr="00A22350">
        <w:rPr>
          <w:rFonts w:ascii="Lato" w:eastAsia="Times New Roman" w:hAnsi="Lato" w:cs="Times New Roman"/>
          <w:color w:val="54960D"/>
          <w:kern w:val="0"/>
          <w:u w:val="single"/>
          <w:lang w:eastAsia="it-IT"/>
          <w14:ligatures w14:val="none"/>
        </w:rPr>
        <w:t>l.d.a</w:t>
      </w:r>
      <w:proofErr w:type="spellEnd"/>
      <w:r w:rsidRPr="00A22350">
        <w:rPr>
          <w:rFonts w:ascii="Lato" w:eastAsia="Times New Roman" w:hAnsi="Lato" w:cs="Times New Roman"/>
          <w:color w:val="54960D"/>
          <w:kern w:val="0"/>
          <w:u w:val="single"/>
          <w:lang w:eastAsia="it-IT"/>
          <w14:ligatures w14:val="none"/>
        </w:rPr>
        <w:t>.</w:t>
      </w:r>
      <w:r w:rsidRPr="00A22350">
        <w:rPr>
          <w:rFonts w:ascii="Lato" w:eastAsia="Times New Roman" w:hAnsi="Lato" w:cs="Times New Roman"/>
          <w:color w:val="0C0C0F"/>
          <w:kern w:val="0"/>
          <w:lang w:eastAsia="it-IT"/>
          <w14:ligatures w14:val="none"/>
        </w:rPr>
        <w:fldChar w:fldCharType="end"/>
      </w:r>
      <w:r w:rsidRPr="00A22350">
        <w:rPr>
          <w:rFonts w:ascii="Lato" w:eastAsia="Times New Roman" w:hAnsi="Lato" w:cs="Times New Roman"/>
          <w:color w:val="0C0C0F"/>
          <w:kern w:val="0"/>
          <w:lang w:eastAsia="it-IT"/>
          <w14:ligatures w14:val="none"/>
        </w:rPr>
        <w:t>, di prossima introduzione, </w:t>
      </w:r>
      <w:r w:rsidRPr="00A22350">
        <w:rPr>
          <w:rFonts w:ascii="Lato" w:eastAsia="Times New Roman" w:hAnsi="Lato" w:cs="Times New Roman"/>
          <w:b/>
          <w:bCs/>
          <w:color w:val="0C0C0F"/>
          <w:kern w:val="0"/>
          <w:lang w:eastAsia="it-IT"/>
          <w14:ligatures w14:val="none"/>
        </w:rPr>
        <w:t>consente riproduzioni ed estrazioni da opere o materiali in rete o banche dati legittimamente accessibili per l’estrazione di testo e dati tramite sistemi di intelligenza artificiale</w:t>
      </w:r>
      <w:r w:rsidRPr="00A22350">
        <w:rPr>
          <w:rFonts w:ascii="Lato" w:eastAsia="Times New Roman" w:hAnsi="Lato" w:cs="Times New Roman"/>
          <w:color w:val="0C0C0F"/>
          <w:kern w:val="0"/>
          <w:lang w:eastAsia="it-IT"/>
          <w14:ligatures w14:val="none"/>
        </w:rPr>
        <w:t>, anche generativa, in conformità agli artt. 70-ter e 70-quater. </w:t>
      </w:r>
      <w:r w:rsidRPr="00A22350">
        <w:rPr>
          <w:rFonts w:ascii="Lato" w:eastAsia="Times New Roman" w:hAnsi="Lato" w:cs="Times New Roman"/>
          <w:b/>
          <w:bCs/>
          <w:color w:val="0C0C0F"/>
          <w:kern w:val="0"/>
          <w:lang w:eastAsia="it-IT"/>
          <w14:ligatures w14:val="none"/>
        </w:rPr>
        <w:t>Questi articoli riguardano l’eccezione di text and data mining (TDM)</w:t>
      </w:r>
      <w:r w:rsidRPr="00A22350">
        <w:rPr>
          <w:rFonts w:ascii="Lato" w:eastAsia="Times New Roman" w:hAnsi="Lato" w:cs="Times New Roman"/>
          <w:color w:val="0C0C0F"/>
          <w:kern w:val="0"/>
          <w:lang w:eastAsia="it-IT"/>
          <w14:ligatures w14:val="none"/>
        </w:rPr>
        <w:t xml:space="preserve">, introdotta dal recepimento della Direttiva Copyright del 2019, che consente di utilizzare contenuti legalmente accessibili per alimentare i sistemi di IA tramite web </w:t>
      </w:r>
      <w:proofErr w:type="spellStart"/>
      <w:r w:rsidRPr="00A22350">
        <w:rPr>
          <w:rFonts w:ascii="Lato" w:eastAsia="Times New Roman" w:hAnsi="Lato" w:cs="Times New Roman"/>
          <w:color w:val="0C0C0F"/>
          <w:kern w:val="0"/>
          <w:lang w:eastAsia="it-IT"/>
          <w14:ligatures w14:val="none"/>
        </w:rPr>
        <w:t>scraping</w:t>
      </w:r>
      <w:proofErr w:type="spellEnd"/>
      <w:r w:rsidRPr="00A22350">
        <w:rPr>
          <w:rFonts w:ascii="Lato" w:eastAsia="Times New Roman" w:hAnsi="Lato" w:cs="Times New Roman"/>
          <w:color w:val="0C0C0F"/>
          <w:kern w:val="0"/>
          <w:lang w:eastAsia="it-IT"/>
          <w14:ligatures w14:val="none"/>
        </w:rPr>
        <w:t>. </w:t>
      </w:r>
    </w:p>
    <w:p w14:paraId="20904653" w14:textId="5E4378A5" w:rsidR="00A22350" w:rsidRPr="00A22350" w:rsidRDefault="00A22350" w:rsidP="00A22350">
      <w:pPr>
        <w:spacing w:line="360" w:lineRule="auto"/>
        <w:jc w:val="both"/>
        <w:rPr>
          <w:rFonts w:ascii="Times New Roman" w:eastAsia="Times New Roman" w:hAnsi="Times New Roman" w:cs="Times New Roman"/>
          <w:color w:val="515151"/>
          <w:kern w:val="0"/>
          <w:shd w:val="clear" w:color="auto" w:fill="FFFFFF"/>
          <w:lang w:eastAsia="it-IT"/>
          <w14:ligatures w14:val="none"/>
        </w:rPr>
      </w:pPr>
      <w:r w:rsidRPr="00A22350">
        <w:rPr>
          <w:rFonts w:ascii="Lato" w:eastAsia="Times New Roman" w:hAnsi="Lato" w:cs="Times New Roman"/>
          <w:color w:val="0C0C0F"/>
          <w:kern w:val="0"/>
          <w:lang w:eastAsia="it-IT"/>
          <w14:ligatures w14:val="none"/>
        </w:rPr>
        <w:t>La definizione di TDM nell’</w:t>
      </w:r>
      <w:hyperlink r:id="rId17" w:tgtFrame="_blank" w:tooltip="10LX0000101276ART35724892" w:history="1">
        <w:r w:rsidRPr="00A22350">
          <w:rPr>
            <w:rFonts w:ascii="Lato" w:eastAsia="Times New Roman" w:hAnsi="Lato" w:cs="Times New Roman"/>
            <w:color w:val="54960D"/>
            <w:kern w:val="0"/>
            <w:u w:val="single"/>
            <w:lang w:eastAsia="it-IT"/>
            <w14:ligatures w14:val="none"/>
          </w:rPr>
          <w:t>art. 70-ter</w:t>
        </w:r>
      </w:hyperlink>
      <w:r>
        <w:rPr>
          <w:rFonts w:ascii="Times New Roman" w:eastAsia="Times New Roman" w:hAnsi="Times New Roman" w:cs="Times New Roman"/>
          <w:color w:val="515151"/>
          <w:kern w:val="0"/>
          <w:shd w:val="clear" w:color="auto" w:fill="FFFFFF"/>
          <w:lang w:eastAsia="it-IT"/>
          <w14:ligatures w14:val="none"/>
        </w:rPr>
        <w:t xml:space="preserve"> </w:t>
      </w:r>
      <w:hyperlink r:id="rId18" w:tgtFrame="_blank" w:tooltip="10LX0000101276SOMM" w:history="1">
        <w:proofErr w:type="spellStart"/>
        <w:r w:rsidRPr="00A22350">
          <w:rPr>
            <w:rFonts w:ascii="Lato" w:eastAsia="Times New Roman" w:hAnsi="Lato" w:cs="Times New Roman"/>
            <w:color w:val="54960D"/>
            <w:kern w:val="0"/>
            <w:u w:val="single"/>
            <w:lang w:eastAsia="it-IT"/>
            <w14:ligatures w14:val="none"/>
          </w:rPr>
          <w:t>l.d.a</w:t>
        </w:r>
        <w:proofErr w:type="spellEnd"/>
        <w:r w:rsidRPr="00A22350">
          <w:rPr>
            <w:rFonts w:ascii="Lato" w:eastAsia="Times New Roman" w:hAnsi="Lato" w:cs="Times New Roman"/>
            <w:color w:val="54960D"/>
            <w:kern w:val="0"/>
            <w:u w:val="single"/>
            <w:lang w:eastAsia="it-IT"/>
            <w14:ligatures w14:val="none"/>
          </w:rPr>
          <w:t>.</w:t>
        </w:r>
      </w:hyperlink>
      <w:r w:rsidRPr="00A22350">
        <w:rPr>
          <w:rFonts w:ascii="Lato" w:eastAsia="Times New Roman" w:hAnsi="Lato" w:cs="Times New Roman"/>
          <w:color w:val="0C0C0F"/>
          <w:kern w:val="0"/>
          <w:lang w:eastAsia="it-IT"/>
          <w14:ligatures w14:val="none"/>
        </w:rPr>
        <w:t> è ampia, applicandosi a tutti i modelli di IA generativa (</w:t>
      </w:r>
      <w:proofErr w:type="spellStart"/>
      <w:r w:rsidRPr="00A22350">
        <w:rPr>
          <w:rFonts w:ascii="Lato" w:eastAsia="Times New Roman" w:hAnsi="Lato" w:cs="Times New Roman"/>
          <w:color w:val="0C0C0F"/>
          <w:kern w:val="0"/>
          <w:lang w:eastAsia="it-IT"/>
          <w14:ligatures w14:val="none"/>
        </w:rPr>
        <w:t>GenAI</w:t>
      </w:r>
      <w:proofErr w:type="spellEnd"/>
      <w:r w:rsidRPr="00A22350">
        <w:rPr>
          <w:rFonts w:ascii="Lato" w:eastAsia="Times New Roman" w:hAnsi="Lato" w:cs="Times New Roman"/>
          <w:color w:val="0C0C0F"/>
          <w:kern w:val="0"/>
          <w:lang w:eastAsia="it-IT"/>
          <w14:ligatures w14:val="none"/>
        </w:rPr>
        <w:t>), il che potrebbe potenzialmente danneggiare le imprese tecnologiche europee e la ricerca scientifica. Questa scelta, evidenziata nella Valutazione d’Impatto della Commissione Europea, potrebbe comportare uno svantaggio competitivo per le imprese europee rispetto a giurisdizioni con clausole aperte o modelli di fair use.</w:t>
      </w:r>
    </w:p>
    <w:p w14:paraId="59E6979F"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lastRenderedPageBreak/>
        <w:t xml:space="preserve">I sistemi TDM raccolgono e trasformano dati per ottenere un output finale. La Direttiva ha introdotto un’eccezione all’utilizzo delle opere protette, cercando un equilibrio tra la diffusione della conoscenza e la protezione del diritto d’autore, basandosi sul </w:t>
      </w:r>
      <w:proofErr w:type="spellStart"/>
      <w:r w:rsidRPr="00A22350">
        <w:rPr>
          <w:rFonts w:ascii="Lato" w:eastAsia="Times New Roman" w:hAnsi="Lato" w:cs="Times New Roman"/>
          <w:color w:val="0C0C0F"/>
          <w:kern w:val="0"/>
          <w:lang w:eastAsia="it-IT"/>
          <w14:ligatures w14:val="none"/>
        </w:rPr>
        <w:t>three</w:t>
      </w:r>
      <w:proofErr w:type="spellEnd"/>
      <w:r w:rsidRPr="00A22350">
        <w:rPr>
          <w:rFonts w:ascii="Lato" w:eastAsia="Times New Roman" w:hAnsi="Lato" w:cs="Times New Roman"/>
          <w:color w:val="0C0C0F"/>
          <w:kern w:val="0"/>
          <w:lang w:eastAsia="it-IT"/>
          <w14:ligatures w14:val="none"/>
        </w:rPr>
        <w:t xml:space="preserve"> strikes test della Convenzione di Berna, ma alcuni Stati membri, già prima della direttiva, avevano già introdotto un’eccezione per il TDM escludendo fini commerciali.</w:t>
      </w:r>
    </w:p>
    <w:p w14:paraId="556C5576" w14:textId="36C138F5" w:rsidR="00A22350" w:rsidRPr="00A22350" w:rsidRDefault="00A22350" w:rsidP="00A22350">
      <w:pPr>
        <w:spacing w:line="360" w:lineRule="auto"/>
        <w:jc w:val="both"/>
        <w:rPr>
          <w:rFonts w:ascii="Times New Roman" w:eastAsia="Times New Roman" w:hAnsi="Times New Roman" w:cs="Times New Roman"/>
          <w:color w:val="515151"/>
          <w:kern w:val="0"/>
          <w:shd w:val="clear" w:color="auto" w:fill="FFFFFF"/>
          <w:lang w:eastAsia="it-IT"/>
          <w14:ligatures w14:val="none"/>
        </w:rPr>
      </w:pPr>
      <w:r w:rsidRPr="00A22350">
        <w:rPr>
          <w:rFonts w:ascii="Lato" w:eastAsia="Times New Roman" w:hAnsi="Lato" w:cs="Times New Roman"/>
          <w:color w:val="0C0C0F"/>
          <w:kern w:val="0"/>
          <w:lang w:eastAsia="it-IT"/>
          <w14:ligatures w14:val="none"/>
        </w:rPr>
        <w:t>L’art. 3 della Direttiva (</w:t>
      </w:r>
      <w:hyperlink r:id="rId19" w:tgtFrame="_blank" w:tooltip="10LX0000101276ART35724892" w:history="1">
        <w:r w:rsidRPr="00A22350">
          <w:rPr>
            <w:rFonts w:ascii="Lato" w:eastAsia="Times New Roman" w:hAnsi="Lato" w:cs="Times New Roman"/>
            <w:color w:val="54960D"/>
            <w:kern w:val="0"/>
            <w:u w:val="single"/>
            <w:lang w:eastAsia="it-IT"/>
            <w14:ligatures w14:val="none"/>
          </w:rPr>
          <w:t>art. 70-ter</w:t>
        </w:r>
      </w:hyperlink>
      <w:r>
        <w:rPr>
          <w:rFonts w:ascii="Times New Roman" w:eastAsia="Times New Roman" w:hAnsi="Times New Roman" w:cs="Times New Roman"/>
          <w:color w:val="515151"/>
          <w:kern w:val="0"/>
          <w:shd w:val="clear" w:color="auto" w:fill="FFFFFF"/>
          <w:lang w:eastAsia="it-IT"/>
          <w14:ligatures w14:val="none"/>
        </w:rPr>
        <w:t xml:space="preserve"> </w:t>
      </w:r>
      <w:hyperlink r:id="rId20" w:tgtFrame="_blank" w:tooltip="10LX0000101276SOMM" w:history="1">
        <w:proofErr w:type="spellStart"/>
        <w:r w:rsidRPr="00A22350">
          <w:rPr>
            <w:rFonts w:ascii="Lato" w:eastAsia="Times New Roman" w:hAnsi="Lato" w:cs="Times New Roman"/>
            <w:color w:val="54960D"/>
            <w:kern w:val="0"/>
            <w:u w:val="single"/>
            <w:lang w:eastAsia="it-IT"/>
            <w14:ligatures w14:val="none"/>
          </w:rPr>
          <w:t>l.d.a</w:t>
        </w:r>
        <w:proofErr w:type="spellEnd"/>
        <w:r w:rsidRPr="00A22350">
          <w:rPr>
            <w:rFonts w:ascii="Lato" w:eastAsia="Times New Roman" w:hAnsi="Lato" w:cs="Times New Roman"/>
            <w:color w:val="54960D"/>
            <w:kern w:val="0"/>
            <w:u w:val="single"/>
            <w:lang w:eastAsia="it-IT"/>
            <w14:ligatures w14:val="none"/>
          </w:rPr>
          <w:t>.</w:t>
        </w:r>
      </w:hyperlink>
      <w:r w:rsidRPr="00A22350">
        <w:rPr>
          <w:rFonts w:ascii="Lato" w:eastAsia="Times New Roman" w:hAnsi="Lato" w:cs="Times New Roman"/>
          <w:color w:val="0C0C0F"/>
          <w:kern w:val="0"/>
          <w:lang w:eastAsia="it-IT"/>
          <w14:ligatures w14:val="none"/>
        </w:rPr>
        <w:t xml:space="preserve">) si applica esclusivamente agli enti di ricerca e agli istituti del patrimonio culturale, e solo per finalità di ricerca scientifica, escludendo lo sfruttamento commerciale. Si discute ancora sulla possibilità di usi secondari a fini commerciali dei risultati della ricerca scientifica e sui soggetti legittimati a beneficiare dell’eccezione. Sia gli artt. 3 della Direttiva che le norme della </w:t>
      </w:r>
      <w:proofErr w:type="spellStart"/>
      <w:r w:rsidRPr="00A22350">
        <w:rPr>
          <w:rFonts w:ascii="Lato" w:eastAsia="Times New Roman" w:hAnsi="Lato" w:cs="Times New Roman"/>
          <w:color w:val="0C0C0F"/>
          <w:kern w:val="0"/>
          <w:lang w:eastAsia="it-IT"/>
          <w14:ligatures w14:val="none"/>
        </w:rPr>
        <w:t>l.d.a</w:t>
      </w:r>
      <w:proofErr w:type="spellEnd"/>
      <w:r w:rsidRPr="00A22350">
        <w:rPr>
          <w:rFonts w:ascii="Lato" w:eastAsia="Times New Roman" w:hAnsi="Lato" w:cs="Times New Roman"/>
          <w:color w:val="0C0C0F"/>
          <w:kern w:val="0"/>
          <w:lang w:eastAsia="it-IT"/>
          <w14:ligatures w14:val="none"/>
        </w:rPr>
        <w:t>. richiedono l’accesso lecito alle opere.</w:t>
      </w:r>
    </w:p>
    <w:p w14:paraId="38C80D9A" w14:textId="6C0D25A5" w:rsidR="00A22350" w:rsidRPr="00A22350" w:rsidRDefault="00A22350" w:rsidP="00A22350">
      <w:pPr>
        <w:spacing w:line="360" w:lineRule="auto"/>
        <w:jc w:val="both"/>
        <w:rPr>
          <w:rFonts w:ascii="Times New Roman" w:eastAsia="Times New Roman" w:hAnsi="Times New Roman" w:cs="Times New Roman"/>
          <w:color w:val="515151"/>
          <w:kern w:val="0"/>
          <w:shd w:val="clear" w:color="auto" w:fill="FFFFFF"/>
          <w:lang w:eastAsia="it-IT"/>
          <w14:ligatures w14:val="none"/>
        </w:rPr>
      </w:pPr>
      <w:r w:rsidRPr="00A22350">
        <w:rPr>
          <w:rFonts w:ascii="Lato" w:eastAsia="Times New Roman" w:hAnsi="Lato" w:cs="Times New Roman"/>
          <w:color w:val="0C0C0F"/>
          <w:kern w:val="0"/>
          <w:lang w:eastAsia="it-IT"/>
          <w14:ligatures w14:val="none"/>
        </w:rPr>
        <w:t>L’art. 4 della Direttiva (</w:t>
      </w:r>
      <w:hyperlink r:id="rId21" w:tgtFrame="_blank" w:tooltip="10LX0000101276ART35724894" w:history="1">
        <w:r w:rsidRPr="00A22350">
          <w:rPr>
            <w:rFonts w:ascii="Lato" w:eastAsia="Times New Roman" w:hAnsi="Lato" w:cs="Times New Roman"/>
            <w:color w:val="54960D"/>
            <w:kern w:val="0"/>
            <w:u w:val="single"/>
            <w:lang w:eastAsia="it-IT"/>
            <w14:ligatures w14:val="none"/>
          </w:rPr>
          <w:t>art. 70-quater</w:t>
        </w:r>
      </w:hyperlink>
      <w:r>
        <w:rPr>
          <w:rFonts w:ascii="Times New Roman" w:eastAsia="Times New Roman" w:hAnsi="Times New Roman" w:cs="Times New Roman"/>
          <w:color w:val="515151"/>
          <w:kern w:val="0"/>
          <w:shd w:val="clear" w:color="auto" w:fill="FFFFFF"/>
          <w:lang w:eastAsia="it-IT"/>
          <w14:ligatures w14:val="none"/>
        </w:rPr>
        <w:t xml:space="preserve"> </w:t>
      </w:r>
      <w:hyperlink r:id="rId22" w:tgtFrame="_blank" w:tooltip="10LX0000101276SOMM" w:history="1">
        <w:proofErr w:type="spellStart"/>
        <w:r w:rsidRPr="00A22350">
          <w:rPr>
            <w:rFonts w:ascii="Lato" w:eastAsia="Times New Roman" w:hAnsi="Lato" w:cs="Times New Roman"/>
            <w:color w:val="54960D"/>
            <w:kern w:val="0"/>
            <w:u w:val="single"/>
            <w:lang w:eastAsia="it-IT"/>
            <w14:ligatures w14:val="none"/>
          </w:rPr>
          <w:t>l.d.a</w:t>
        </w:r>
        <w:proofErr w:type="spellEnd"/>
        <w:r w:rsidRPr="00A22350">
          <w:rPr>
            <w:rFonts w:ascii="Lato" w:eastAsia="Times New Roman" w:hAnsi="Lato" w:cs="Times New Roman"/>
            <w:color w:val="54960D"/>
            <w:kern w:val="0"/>
            <w:u w:val="single"/>
            <w:lang w:eastAsia="it-IT"/>
            <w14:ligatures w14:val="none"/>
          </w:rPr>
          <w:t>.</w:t>
        </w:r>
      </w:hyperlink>
      <w:r w:rsidRPr="00A22350">
        <w:rPr>
          <w:rFonts w:ascii="Lato" w:eastAsia="Times New Roman" w:hAnsi="Lato" w:cs="Times New Roman"/>
          <w:color w:val="0C0C0F"/>
          <w:kern w:val="0"/>
          <w:lang w:eastAsia="it-IT"/>
          <w14:ligatures w14:val="none"/>
        </w:rPr>
        <w:t>) non è limitato a soggetti specifici e </w:t>
      </w:r>
      <w:r w:rsidRPr="00A22350">
        <w:rPr>
          <w:rFonts w:ascii="Lato" w:eastAsia="Times New Roman" w:hAnsi="Lato" w:cs="Times New Roman"/>
          <w:b/>
          <w:bCs/>
          <w:color w:val="0C0C0F"/>
          <w:kern w:val="0"/>
          <w:lang w:eastAsia="it-IT"/>
          <w14:ligatures w14:val="none"/>
        </w:rPr>
        <w:t xml:space="preserve">introduce un sistema di </w:t>
      </w:r>
      <w:proofErr w:type="spellStart"/>
      <w:r w:rsidRPr="00A22350">
        <w:rPr>
          <w:rFonts w:ascii="Lato" w:eastAsia="Times New Roman" w:hAnsi="Lato" w:cs="Times New Roman"/>
          <w:b/>
          <w:bCs/>
          <w:color w:val="0C0C0F"/>
          <w:kern w:val="0"/>
          <w:lang w:eastAsia="it-IT"/>
          <w14:ligatures w14:val="none"/>
        </w:rPr>
        <w:t>opt</w:t>
      </w:r>
      <w:proofErr w:type="spellEnd"/>
      <w:r w:rsidRPr="00A22350">
        <w:rPr>
          <w:rFonts w:ascii="Lato" w:eastAsia="Times New Roman" w:hAnsi="Lato" w:cs="Times New Roman"/>
          <w:b/>
          <w:bCs/>
          <w:color w:val="0C0C0F"/>
          <w:kern w:val="0"/>
          <w:lang w:eastAsia="it-IT"/>
          <w14:ligatures w14:val="none"/>
        </w:rPr>
        <w:t>-out</w:t>
      </w:r>
      <w:r w:rsidRPr="00A22350">
        <w:rPr>
          <w:rFonts w:ascii="Lato" w:eastAsia="Times New Roman" w:hAnsi="Lato" w:cs="Times New Roman"/>
          <w:color w:val="0C0C0F"/>
          <w:kern w:val="0"/>
          <w:lang w:eastAsia="it-IT"/>
          <w14:ligatures w14:val="none"/>
        </w:rPr>
        <w:t>, escludendo le opere il cui utilizzo sia stato negato tramite strumenti leggibili automaticamente. </w:t>
      </w:r>
    </w:p>
    <w:p w14:paraId="1C93E4DD" w14:textId="5447D69E" w:rsidR="00A22350" w:rsidRPr="00A22350" w:rsidRDefault="00A22350" w:rsidP="00A22350">
      <w:pPr>
        <w:spacing w:line="360" w:lineRule="auto"/>
        <w:jc w:val="both"/>
        <w:rPr>
          <w:rFonts w:ascii="Times New Roman" w:eastAsia="Times New Roman" w:hAnsi="Times New Roman" w:cs="Times New Roman"/>
          <w:color w:val="515151"/>
          <w:kern w:val="0"/>
          <w:shd w:val="clear" w:color="auto" w:fill="FFFFFF"/>
          <w:lang w:eastAsia="it-IT"/>
          <w14:ligatures w14:val="none"/>
        </w:rPr>
      </w:pPr>
      <w:r w:rsidRPr="00A22350">
        <w:rPr>
          <w:rFonts w:ascii="Lato" w:eastAsia="Times New Roman" w:hAnsi="Lato" w:cs="Times New Roman"/>
          <w:color w:val="0C0C0F"/>
          <w:kern w:val="0"/>
          <w:lang w:eastAsia="it-IT"/>
          <w14:ligatures w14:val="none"/>
        </w:rPr>
        <w:t>Non è chiaro l’esatto ambito di applicazione dell’</w:t>
      </w:r>
      <w:hyperlink r:id="rId23" w:tgtFrame="_blank" w:tooltip="10LX0000101276ART35724894" w:history="1">
        <w:r w:rsidRPr="00A22350">
          <w:rPr>
            <w:rFonts w:ascii="Lato" w:eastAsia="Times New Roman" w:hAnsi="Lato" w:cs="Times New Roman"/>
            <w:color w:val="54960D"/>
            <w:kern w:val="0"/>
            <w:u w:val="single"/>
            <w:lang w:eastAsia="it-IT"/>
            <w14:ligatures w14:val="none"/>
          </w:rPr>
          <w:t>art. 70-quater</w:t>
        </w:r>
      </w:hyperlink>
      <w:r>
        <w:rPr>
          <w:rFonts w:ascii="Times New Roman" w:eastAsia="Times New Roman" w:hAnsi="Times New Roman" w:cs="Times New Roman"/>
          <w:color w:val="515151"/>
          <w:kern w:val="0"/>
          <w:shd w:val="clear" w:color="auto" w:fill="FFFFFF"/>
          <w:lang w:eastAsia="it-IT"/>
          <w14:ligatures w14:val="none"/>
        </w:rPr>
        <w:t xml:space="preserve"> </w:t>
      </w:r>
      <w:hyperlink r:id="rId24" w:tgtFrame="_blank" w:tooltip="10LX0000101276SOMM" w:history="1">
        <w:proofErr w:type="spellStart"/>
        <w:r w:rsidRPr="00A22350">
          <w:rPr>
            <w:rFonts w:ascii="Lato" w:eastAsia="Times New Roman" w:hAnsi="Lato" w:cs="Times New Roman"/>
            <w:color w:val="54960D"/>
            <w:kern w:val="0"/>
            <w:u w:val="single"/>
            <w:lang w:eastAsia="it-IT"/>
            <w14:ligatures w14:val="none"/>
          </w:rPr>
          <w:t>l.d.a</w:t>
        </w:r>
        <w:proofErr w:type="spellEnd"/>
        <w:r w:rsidRPr="00A22350">
          <w:rPr>
            <w:rFonts w:ascii="Lato" w:eastAsia="Times New Roman" w:hAnsi="Lato" w:cs="Times New Roman"/>
            <w:color w:val="54960D"/>
            <w:kern w:val="0"/>
            <w:u w:val="single"/>
            <w:lang w:eastAsia="it-IT"/>
            <w14:ligatures w14:val="none"/>
          </w:rPr>
          <w:t>.</w:t>
        </w:r>
      </w:hyperlink>
      <w:r w:rsidRPr="00A22350">
        <w:rPr>
          <w:rFonts w:ascii="Lato" w:eastAsia="Times New Roman" w:hAnsi="Lato" w:cs="Times New Roman"/>
          <w:color w:val="0C0C0F"/>
          <w:kern w:val="0"/>
          <w:lang w:eastAsia="it-IT"/>
          <w14:ligatures w14:val="none"/>
        </w:rPr>
        <w:t>, e nella pratica, l’identificazione di strumenti per riconoscere automaticamente i contenuti protetti rappresenta una questione aperta, determinando che la norma in questione, sebbene recente, risulti inapplicata a causa della mancanza di chiarezza sui suoi confini e di standard riconosciuti. </w:t>
      </w:r>
    </w:p>
    <w:p w14:paraId="70BFADED" w14:textId="77777777" w:rsidR="00A22350" w:rsidRPr="00A22350" w:rsidRDefault="00A22350" w:rsidP="00A22350">
      <w:pPr>
        <w:spacing w:line="360" w:lineRule="auto"/>
        <w:jc w:val="both"/>
        <w:rPr>
          <w:rFonts w:ascii="Lato" w:eastAsia="Times New Roman" w:hAnsi="Lato" w:cs="Times New Roman"/>
          <w:color w:val="0C0C0F"/>
          <w:kern w:val="0"/>
          <w:lang w:eastAsia="it-IT"/>
          <w14:ligatures w14:val="none"/>
        </w:rPr>
      </w:pPr>
      <w:r w:rsidRPr="00A22350">
        <w:rPr>
          <w:rFonts w:ascii="Lato" w:eastAsia="Times New Roman" w:hAnsi="Lato" w:cs="Times New Roman"/>
          <w:color w:val="0C0C0F"/>
          <w:kern w:val="0"/>
          <w:lang w:eastAsia="it-IT"/>
          <w14:ligatures w14:val="none"/>
        </w:rPr>
        <w:t>Probabilmente, la nuova legge italiana sarebbe potuta intervenire sul punto, precisando standard e protocolli per l’esercizio dell’</w:t>
      </w:r>
      <w:proofErr w:type="spellStart"/>
      <w:r w:rsidRPr="00A22350">
        <w:rPr>
          <w:rFonts w:ascii="Lato" w:eastAsia="Times New Roman" w:hAnsi="Lato" w:cs="Times New Roman"/>
          <w:color w:val="0C0C0F"/>
          <w:kern w:val="0"/>
          <w:lang w:eastAsia="it-IT"/>
          <w14:ligatures w14:val="none"/>
        </w:rPr>
        <w:t>opt</w:t>
      </w:r>
      <w:proofErr w:type="spellEnd"/>
      <w:r w:rsidRPr="00A22350">
        <w:rPr>
          <w:rFonts w:ascii="Lato" w:eastAsia="Times New Roman" w:hAnsi="Lato" w:cs="Times New Roman"/>
          <w:color w:val="0C0C0F"/>
          <w:kern w:val="0"/>
          <w:lang w:eastAsia="it-IT"/>
          <w14:ligatures w14:val="none"/>
        </w:rPr>
        <w:t>-out da parte dei titolari dei diritti.</w:t>
      </w:r>
    </w:p>
    <w:p w14:paraId="42C097D5" w14:textId="77777777" w:rsidR="008E2FE0" w:rsidRDefault="008E2FE0" w:rsidP="00A22350">
      <w:pPr>
        <w:spacing w:line="360" w:lineRule="auto"/>
        <w:jc w:val="both"/>
      </w:pPr>
    </w:p>
    <w:sectPr w:rsidR="008E2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Slab">
    <w:panose1 w:val="00000000000000000000"/>
    <w:charset w:val="00"/>
    <w:family w:val="auto"/>
    <w:pitch w:val="variable"/>
    <w:sig w:usb0="000004FF" w:usb1="8000405F" w:usb2="00000022"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5917"/>
    <w:multiLevelType w:val="multilevel"/>
    <w:tmpl w:val="FCB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23016"/>
    <w:multiLevelType w:val="multilevel"/>
    <w:tmpl w:val="16C4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436698">
    <w:abstractNumId w:val="1"/>
  </w:num>
  <w:num w:numId="2" w16cid:durableId="47136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50"/>
    <w:rsid w:val="00004DD0"/>
    <w:rsid w:val="00654824"/>
    <w:rsid w:val="006E57A2"/>
    <w:rsid w:val="008E2FE0"/>
    <w:rsid w:val="00A22350"/>
    <w:rsid w:val="00ED42CB"/>
    <w:rsid w:val="00FF0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846F"/>
  <w15:chartTrackingRefBased/>
  <w15:docId w15:val="{3FCF69A3-1C60-064A-AF49-A36A0346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22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22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2235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2235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2235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2235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2235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2235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2235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235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2235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2235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2235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2235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223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23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23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23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235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223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235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223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235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22350"/>
    <w:rPr>
      <w:i/>
      <w:iCs/>
      <w:color w:val="404040" w:themeColor="text1" w:themeTint="BF"/>
    </w:rPr>
  </w:style>
  <w:style w:type="paragraph" w:styleId="Paragrafoelenco">
    <w:name w:val="List Paragraph"/>
    <w:basedOn w:val="Normale"/>
    <w:uiPriority w:val="34"/>
    <w:qFormat/>
    <w:rsid w:val="00A22350"/>
    <w:pPr>
      <w:ind w:left="720"/>
      <w:contextualSpacing/>
    </w:pPr>
  </w:style>
  <w:style w:type="character" w:styleId="Enfasiintensa">
    <w:name w:val="Intense Emphasis"/>
    <w:basedOn w:val="Carpredefinitoparagrafo"/>
    <w:uiPriority w:val="21"/>
    <w:qFormat/>
    <w:rsid w:val="00A22350"/>
    <w:rPr>
      <w:i/>
      <w:iCs/>
      <w:color w:val="0F4761" w:themeColor="accent1" w:themeShade="BF"/>
    </w:rPr>
  </w:style>
  <w:style w:type="paragraph" w:styleId="Citazioneintensa">
    <w:name w:val="Intense Quote"/>
    <w:basedOn w:val="Normale"/>
    <w:next w:val="Normale"/>
    <w:link w:val="CitazioneintensaCarattere"/>
    <w:uiPriority w:val="30"/>
    <w:qFormat/>
    <w:rsid w:val="00A22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22350"/>
    <w:rPr>
      <w:i/>
      <w:iCs/>
      <w:color w:val="0F4761" w:themeColor="accent1" w:themeShade="BF"/>
    </w:rPr>
  </w:style>
  <w:style w:type="character" w:styleId="Riferimentointenso">
    <w:name w:val="Intense Reference"/>
    <w:basedOn w:val="Carpredefinitoparagrafo"/>
    <w:uiPriority w:val="32"/>
    <w:qFormat/>
    <w:rsid w:val="00A22350"/>
    <w:rPr>
      <w:b/>
      <w:bCs/>
      <w:smallCaps/>
      <w:color w:val="0F4761" w:themeColor="accent1" w:themeShade="BF"/>
      <w:spacing w:val="5"/>
    </w:rPr>
  </w:style>
  <w:style w:type="character" w:customStyle="1" w:styleId="apple-converted-space">
    <w:name w:val="apple-converted-space"/>
    <w:basedOn w:val="Carpredefinitoparagrafo"/>
    <w:rsid w:val="00A22350"/>
  </w:style>
  <w:style w:type="character" w:styleId="Collegamentoipertestuale">
    <w:name w:val="Hyperlink"/>
    <w:basedOn w:val="Carpredefinitoparagrafo"/>
    <w:uiPriority w:val="99"/>
    <w:semiHidden/>
    <w:unhideWhenUsed/>
    <w:rsid w:val="00A22350"/>
    <w:rPr>
      <w:color w:val="0000FF"/>
      <w:u w:val="single"/>
    </w:rPr>
  </w:style>
  <w:style w:type="paragraph" w:customStyle="1" w:styleId="article-tools-li-stampa">
    <w:name w:val="article-tools-li-stampa"/>
    <w:basedOn w:val="Normale"/>
    <w:rsid w:val="00A2235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word">
    <w:name w:val="article-tools-li-word"/>
    <w:basedOn w:val="Normale"/>
    <w:rsid w:val="00A2235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pdf">
    <w:name w:val="article-tools-li-pdf"/>
    <w:basedOn w:val="Normale"/>
    <w:rsid w:val="00A2235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facebook">
    <w:name w:val="article-tools-li-facebook"/>
    <w:basedOn w:val="Normale"/>
    <w:rsid w:val="00A2235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twitter">
    <w:name w:val="article-tools-li-twitter"/>
    <w:basedOn w:val="Normale"/>
    <w:rsid w:val="00A2235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linkedin">
    <w:name w:val="article-tools-li-linkedin"/>
    <w:basedOn w:val="Normale"/>
    <w:rsid w:val="00A22350"/>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article-tools-li-mail">
    <w:name w:val="article-tools-li-mail"/>
    <w:basedOn w:val="Normale"/>
    <w:rsid w:val="00A22350"/>
    <w:pPr>
      <w:spacing w:before="100" w:beforeAutospacing="1" w:after="100" w:afterAutospacing="1"/>
    </w:pPr>
    <w:rPr>
      <w:rFonts w:ascii="Times New Roman" w:eastAsia="Times New Roman" w:hAnsi="Times New Roman" w:cs="Times New Roman"/>
      <w:kern w:val="0"/>
      <w:lang w:eastAsia="it-IT"/>
      <w14:ligatures w14:val="none"/>
    </w:rPr>
  </w:style>
  <w:style w:type="paragraph" w:styleId="NormaleWeb">
    <w:name w:val="Normal (Web)"/>
    <w:basedOn w:val="Normale"/>
    <w:uiPriority w:val="99"/>
    <w:semiHidden/>
    <w:unhideWhenUsed/>
    <w:rsid w:val="00A22350"/>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tooltip">
    <w:name w:val="tooltip"/>
    <w:basedOn w:val="Carpredefinitoparagrafo"/>
    <w:rsid w:val="00A22350"/>
  </w:style>
  <w:style w:type="character" w:styleId="Enfasigrassetto">
    <w:name w:val="Strong"/>
    <w:basedOn w:val="Carpredefinitoparagrafo"/>
    <w:uiPriority w:val="22"/>
    <w:qFormat/>
    <w:rsid w:val="00A223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legale.wolterskluwer.it/document/10LX0000870428SOMM" TargetMode="External"/><Relationship Id="rId13" Type="http://schemas.openxmlformats.org/officeDocument/2006/relationships/hyperlink" Target="https://onelegale.wolterskluwer.it/document/10LX0000828463ART96" TargetMode="External"/><Relationship Id="rId18" Type="http://schemas.openxmlformats.org/officeDocument/2006/relationships/hyperlink" Target="https://onelegale.wolterskluwer.it/document/10LX0000101276SOM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nelegale.wolterskluwer.it/document/10LX0000101276ART35724894" TargetMode="External"/><Relationship Id="rId7" Type="http://schemas.openxmlformats.org/officeDocument/2006/relationships/hyperlink" Target="https://onelegale.wolterskluwer.it/document/10LX0000156905SOMM" TargetMode="External"/><Relationship Id="rId12" Type="http://schemas.openxmlformats.org/officeDocument/2006/relationships/hyperlink" Target="https://onelegale.wolterskluwer.it/document/10LX0000828463ART86" TargetMode="External"/><Relationship Id="rId17" Type="http://schemas.openxmlformats.org/officeDocument/2006/relationships/hyperlink" Target="https://onelegale.wolterskluwer.it/document/10LX0000101276ART3572489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nelegale.wolterskluwer.it/document/10LX0000978237SOMM" TargetMode="External"/><Relationship Id="rId20" Type="http://schemas.openxmlformats.org/officeDocument/2006/relationships/hyperlink" Target="https://onelegale.wolterskluwer.it/document/10LX0000101276SOMM" TargetMode="External"/><Relationship Id="rId1" Type="http://schemas.openxmlformats.org/officeDocument/2006/relationships/numbering" Target="numbering.xml"/><Relationship Id="rId6" Type="http://schemas.openxmlformats.org/officeDocument/2006/relationships/hyperlink" Target="https://onelegale.wolterskluwer.it/document/10LX0000156905ART59" TargetMode="External"/><Relationship Id="rId11" Type="http://schemas.openxmlformats.org/officeDocument/2006/relationships/hyperlink" Target="https://onelegale.wolterskluwer.it/document/10LX0000828463ART85" TargetMode="External"/><Relationship Id="rId24" Type="http://schemas.openxmlformats.org/officeDocument/2006/relationships/hyperlink" Target="https://onelegale.wolterskluwer.it/document/10LX0000101276SOMM" TargetMode="External"/><Relationship Id="rId5" Type="http://schemas.openxmlformats.org/officeDocument/2006/relationships/hyperlink" Target="https://onelegale.wolterskluwer.it/document/10LX0000966310SOMM" TargetMode="External"/><Relationship Id="rId15" Type="http://schemas.openxmlformats.org/officeDocument/2006/relationships/hyperlink" Target="https://onelegale.wolterskluwer.it/document/10LX0000828463SOMM" TargetMode="External"/><Relationship Id="rId23" Type="http://schemas.openxmlformats.org/officeDocument/2006/relationships/hyperlink" Target="https://onelegale.wolterskluwer.it/document/10LX0000101276ART35724894" TargetMode="External"/><Relationship Id="rId10" Type="http://schemas.openxmlformats.org/officeDocument/2006/relationships/hyperlink" Target="https://onelegale.wolterskluwer.it/document/10LX0000978237SOMM" TargetMode="External"/><Relationship Id="rId19" Type="http://schemas.openxmlformats.org/officeDocument/2006/relationships/hyperlink" Target="https://onelegale.wolterskluwer.it/document/10LX0000101276ART35724892" TargetMode="External"/><Relationship Id="rId4" Type="http://schemas.openxmlformats.org/officeDocument/2006/relationships/webSettings" Target="webSettings.xml"/><Relationship Id="rId9" Type="http://schemas.openxmlformats.org/officeDocument/2006/relationships/hyperlink" Target="https://onelegale.wolterskluwer.it/document/10LX0000927903SOMM" TargetMode="External"/><Relationship Id="rId14" Type="http://schemas.openxmlformats.org/officeDocument/2006/relationships/hyperlink" Target="https://onelegale.wolterskluwer.it/document/10LX0000828463ART102" TargetMode="External"/><Relationship Id="rId22" Type="http://schemas.openxmlformats.org/officeDocument/2006/relationships/hyperlink" Target="https://onelegale.wolterskluwer.it/document/10LX0000101276SOM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2502</Words>
  <Characters>14265</Characters>
  <Application>Microsoft Office Word</Application>
  <DocSecurity>0</DocSecurity>
  <Lines>118</Lines>
  <Paragraphs>33</Paragraphs>
  <ScaleCrop>false</ScaleCrop>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2</cp:revision>
  <dcterms:created xsi:type="dcterms:W3CDTF">2025-10-05T10:14:00Z</dcterms:created>
  <dcterms:modified xsi:type="dcterms:W3CDTF">2025-10-05T14:21:00Z</dcterms:modified>
</cp:coreProperties>
</file>