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4F90A" w14:textId="77777777" w:rsidR="00380110" w:rsidRPr="00380110" w:rsidRDefault="00380110" w:rsidP="00380110">
      <w:pPr>
        <w:jc w:val="both"/>
        <w:rPr>
          <w:rFonts w:ascii="Times New Roman" w:eastAsia="Times New Roman" w:hAnsi="Times New Roman" w:cs="Times New Roman"/>
          <w:kern w:val="0"/>
          <w:lang w:eastAsia="it-IT"/>
          <w14:ligatures w14:val="none"/>
        </w:rPr>
      </w:pPr>
      <w:r w:rsidRPr="00380110">
        <w:rPr>
          <w:rFonts w:ascii="Times New Roman" w:eastAsia="Times New Roman" w:hAnsi="Times New Roman" w:cs="Times New Roman"/>
          <w:b/>
          <w:bCs/>
          <w:caps/>
          <w:color w:val="1E5192"/>
          <w:kern w:val="0"/>
          <w:lang w:eastAsia="it-IT"/>
          <w14:ligatures w14:val="none"/>
        </w:rPr>
        <w:t>IP, IT E DATA PROTECTION</w:t>
      </w:r>
    </w:p>
    <w:p w14:paraId="0492CD6D" w14:textId="77777777" w:rsidR="00380110" w:rsidRPr="00380110" w:rsidRDefault="00380110" w:rsidP="00380110">
      <w:pPr>
        <w:jc w:val="both"/>
        <w:outlineLvl w:val="0"/>
        <w:rPr>
          <w:rFonts w:ascii="Roboto Slab" w:eastAsia="Times New Roman" w:hAnsi="Roboto Slab" w:cs="Roboto Slab"/>
          <w:b/>
          <w:bCs/>
          <w:color w:val="0C0C0F"/>
          <w:kern w:val="36"/>
          <w:sz w:val="48"/>
          <w:szCs w:val="48"/>
          <w:lang w:eastAsia="it-IT"/>
          <w14:ligatures w14:val="none"/>
        </w:rPr>
      </w:pPr>
      <w:r w:rsidRPr="00380110">
        <w:rPr>
          <w:rFonts w:ascii="Roboto Slab" w:eastAsia="Times New Roman" w:hAnsi="Roboto Slab" w:cs="Roboto Slab"/>
          <w:b/>
          <w:bCs/>
          <w:color w:val="0C0C0F"/>
          <w:kern w:val="36"/>
          <w:sz w:val="48"/>
          <w:szCs w:val="48"/>
          <w:lang w:eastAsia="it-IT"/>
          <w14:ligatures w14:val="none"/>
        </w:rPr>
        <w:t>Giustizia, l’intelligenza artificiale nei Tribunali: le lacune</w:t>
      </w:r>
    </w:p>
    <w:p w14:paraId="0EDF8B71" w14:textId="77777777" w:rsidR="00380110" w:rsidRDefault="00380110" w:rsidP="00380110">
      <w:pPr>
        <w:jc w:val="both"/>
        <w:rPr>
          <w:rFonts w:ascii="Times New Roman" w:eastAsia="Times New Roman" w:hAnsi="Times New Roman" w:cs="Times New Roman"/>
          <w:color w:val="0C0C0F"/>
          <w:kern w:val="0"/>
          <w:lang w:eastAsia="it-IT"/>
          <w14:ligatures w14:val="none"/>
        </w:rPr>
      </w:pPr>
      <w:r w:rsidRPr="00380110">
        <w:rPr>
          <w:rFonts w:ascii="Times New Roman" w:eastAsia="Times New Roman" w:hAnsi="Times New Roman" w:cs="Times New Roman"/>
          <w:color w:val="0C0C0F"/>
          <w:kern w:val="0"/>
          <w:lang w:eastAsia="it-IT"/>
          <w14:ligatures w14:val="none"/>
        </w:rPr>
        <w:t>Poca trasparenza e nessuna linea guida istituzionale: il punto nel documento degli Osservatori della Giustizia civile</w:t>
      </w:r>
    </w:p>
    <w:p w14:paraId="4D685B22" w14:textId="77777777" w:rsidR="00380110" w:rsidRPr="00380110" w:rsidRDefault="00380110" w:rsidP="00380110">
      <w:pPr>
        <w:jc w:val="both"/>
        <w:rPr>
          <w:rFonts w:ascii="Times New Roman" w:eastAsia="Times New Roman" w:hAnsi="Times New Roman" w:cs="Times New Roman"/>
          <w:color w:val="0C0C0F"/>
          <w:kern w:val="0"/>
          <w:lang w:eastAsia="it-IT"/>
          <w14:ligatures w14:val="none"/>
        </w:rPr>
      </w:pPr>
    </w:p>
    <w:p w14:paraId="49E86920" w14:textId="77777777" w:rsidR="00380110" w:rsidRPr="00380110" w:rsidRDefault="00380110" w:rsidP="00380110">
      <w:pPr>
        <w:jc w:val="both"/>
        <w:rPr>
          <w:rFonts w:ascii="Lato" w:eastAsia="Times New Roman" w:hAnsi="Lato" w:cs="Times New Roman"/>
          <w:b/>
          <w:bCs/>
          <w:color w:val="0C0C0F"/>
          <w:kern w:val="0"/>
          <w:lang w:eastAsia="it-IT"/>
          <w14:ligatures w14:val="none"/>
        </w:rPr>
      </w:pPr>
      <w:r w:rsidRPr="00380110">
        <w:rPr>
          <w:rFonts w:ascii="Lato" w:eastAsia="Times New Roman" w:hAnsi="Lato" w:cs="Times New Roman"/>
          <w:b/>
          <w:bCs/>
          <w:color w:val="0C0C0F"/>
          <w:kern w:val="0"/>
          <w:lang w:eastAsia="it-IT"/>
          <w14:ligatures w14:val="none"/>
        </w:rPr>
        <w:t>Di </w:t>
      </w:r>
      <w:r w:rsidRPr="00380110">
        <w:rPr>
          <w:rFonts w:ascii="Lato" w:eastAsia="Times New Roman" w:hAnsi="Lato" w:cs="Times New Roman"/>
          <w:b/>
          <w:bCs/>
          <w:color w:val="1E5192"/>
          <w:kern w:val="0"/>
          <w:lang w:eastAsia="it-IT"/>
          <w14:ligatures w14:val="none"/>
        </w:rPr>
        <w:t>Claudia Morelli</w:t>
      </w:r>
    </w:p>
    <w:p w14:paraId="7415C750" w14:textId="77777777" w:rsidR="00380110" w:rsidRPr="00380110" w:rsidRDefault="00380110" w:rsidP="00380110">
      <w:pPr>
        <w:jc w:val="both"/>
        <w:rPr>
          <w:rFonts w:ascii="Lato" w:eastAsia="Times New Roman" w:hAnsi="Lato" w:cs="Times New Roman"/>
          <w:color w:val="0C0C0F"/>
          <w:kern w:val="0"/>
          <w:lang w:eastAsia="it-IT"/>
          <w14:ligatures w14:val="none"/>
        </w:rPr>
      </w:pPr>
      <w:r w:rsidRPr="00380110">
        <w:rPr>
          <w:rFonts w:ascii="Lato" w:eastAsia="Times New Roman" w:hAnsi="Lato" w:cs="Times New Roman"/>
          <w:color w:val="0C0C0F"/>
          <w:kern w:val="0"/>
          <w:lang w:eastAsia="it-IT"/>
          <w14:ligatures w14:val="none"/>
        </w:rPr>
        <w:t>Giornalista professionista</w:t>
      </w:r>
    </w:p>
    <w:p w14:paraId="028C4E57" w14:textId="77777777" w:rsidR="00380110" w:rsidRPr="00380110" w:rsidRDefault="00380110" w:rsidP="00380110">
      <w:pPr>
        <w:jc w:val="both"/>
        <w:rPr>
          <w:rFonts w:ascii="Roboto Slab" w:eastAsia="Times New Roman" w:hAnsi="Roboto Slab" w:cs="Roboto Slab"/>
          <w:color w:val="5E5E5E"/>
          <w:kern w:val="0"/>
          <w:lang w:eastAsia="it-IT"/>
          <w14:ligatures w14:val="none"/>
        </w:rPr>
      </w:pPr>
      <w:r w:rsidRPr="00380110">
        <w:rPr>
          <w:rFonts w:ascii="Roboto Slab" w:eastAsia="Times New Roman" w:hAnsi="Roboto Slab" w:cs="Roboto Slab"/>
          <w:color w:val="5E5E5E"/>
          <w:kern w:val="0"/>
          <w:lang w:eastAsia="it-IT"/>
          <w14:ligatures w14:val="none"/>
        </w:rPr>
        <w:t>Pubblicato il 22/09/2025</w:t>
      </w:r>
    </w:p>
    <w:p w14:paraId="355C49F0" w14:textId="77777777" w:rsidR="00380110" w:rsidRDefault="00380110" w:rsidP="00380110">
      <w:pPr>
        <w:spacing w:line="360" w:lineRule="auto"/>
        <w:jc w:val="both"/>
        <w:rPr>
          <w:rFonts w:ascii="Lato" w:eastAsia="Times New Roman" w:hAnsi="Lato" w:cs="Times New Roman"/>
          <w:color w:val="0C0C0F"/>
          <w:kern w:val="0"/>
          <w:lang w:eastAsia="it-IT"/>
          <w14:ligatures w14:val="none"/>
        </w:rPr>
      </w:pPr>
    </w:p>
    <w:p w14:paraId="51F122FB" w14:textId="77777777" w:rsidR="00380110" w:rsidRDefault="00380110" w:rsidP="00380110">
      <w:pPr>
        <w:spacing w:line="360" w:lineRule="auto"/>
        <w:jc w:val="both"/>
        <w:rPr>
          <w:rFonts w:ascii="Lato" w:eastAsia="Times New Roman" w:hAnsi="Lato" w:cs="Times New Roman"/>
          <w:i/>
          <w:iCs/>
          <w:color w:val="0C0C0F"/>
          <w:kern w:val="0"/>
          <w:lang w:eastAsia="it-IT"/>
          <w14:ligatures w14:val="none"/>
        </w:rPr>
      </w:pPr>
      <w:r w:rsidRPr="00380110">
        <w:rPr>
          <w:rFonts w:ascii="Lato" w:eastAsia="Times New Roman" w:hAnsi="Lato" w:cs="Times New Roman"/>
          <w:i/>
          <w:iCs/>
          <w:color w:val="0C0C0F"/>
          <w:kern w:val="0"/>
          <w:lang w:eastAsia="it-IT"/>
          <w14:ligatures w14:val="none"/>
        </w:rPr>
        <w:t>Trasparenza contrattuale e linee guida sull’uso dell’intelligenza artificiale nella Giustizia sono le due grandi assenti. È per questo che occorre alimentare il dibattito. Questa volta a richiamare l’attenzione sono gli Osservatori sulla Giustizia civile, nel cui ambito è stato costituito un gruppo di analisi sull'impiego dell'AI nel mondo della giustizia, composto da avvocati, giudici, ricercatori del CNR e funzionari della giustizia.</w:t>
      </w:r>
    </w:p>
    <w:p w14:paraId="14275D94" w14:textId="77777777" w:rsidR="00380110" w:rsidRDefault="00380110" w:rsidP="00380110">
      <w:pPr>
        <w:spacing w:line="360" w:lineRule="auto"/>
        <w:jc w:val="both"/>
        <w:rPr>
          <w:rFonts w:ascii="Lato" w:eastAsia="Times New Roman" w:hAnsi="Lato" w:cs="Times New Roman"/>
          <w:i/>
          <w:iCs/>
          <w:color w:val="0C0C0F"/>
          <w:kern w:val="0"/>
          <w:lang w:eastAsia="it-IT"/>
          <w14:ligatures w14:val="none"/>
        </w:rPr>
      </w:pPr>
      <w:r w:rsidRPr="00380110">
        <w:rPr>
          <w:rFonts w:ascii="Lato" w:eastAsia="Times New Roman" w:hAnsi="Lato" w:cs="Times New Roman"/>
          <w:i/>
          <w:iCs/>
          <w:color w:val="0C0C0F"/>
          <w:kern w:val="0"/>
          <w:lang w:eastAsia="it-IT"/>
          <w14:ligatures w14:val="none"/>
        </w:rPr>
        <w:t xml:space="preserve">Mentre in altri paesi Ue, le amministrazioni giudiziarie si stanno muovendo per organizzare una governance chiara in materia di AI e Giustizia (vedi infra), in </w:t>
      </w:r>
      <w:proofErr w:type="gramStart"/>
      <w:r w:rsidRPr="00380110">
        <w:rPr>
          <w:rFonts w:ascii="Lato" w:eastAsia="Times New Roman" w:hAnsi="Lato" w:cs="Times New Roman"/>
          <w:i/>
          <w:iCs/>
          <w:color w:val="0C0C0F"/>
          <w:kern w:val="0"/>
          <w:lang w:eastAsia="it-IT"/>
          <w14:ligatures w14:val="none"/>
        </w:rPr>
        <w:t>Italia  il</w:t>
      </w:r>
      <w:proofErr w:type="gramEnd"/>
      <w:r w:rsidRPr="00380110">
        <w:rPr>
          <w:rFonts w:ascii="Lato" w:eastAsia="Times New Roman" w:hAnsi="Lato" w:cs="Times New Roman"/>
          <w:i/>
          <w:iCs/>
          <w:color w:val="0C0C0F"/>
          <w:kern w:val="0"/>
          <w:lang w:eastAsia="it-IT"/>
          <w14:ligatures w14:val="none"/>
        </w:rPr>
        <w:t xml:space="preserve"> dibattito procede decisamente più lentamente</w:t>
      </w:r>
    </w:p>
    <w:p w14:paraId="62812CDD" w14:textId="77777777" w:rsidR="00380110" w:rsidRDefault="00380110" w:rsidP="00380110">
      <w:pPr>
        <w:spacing w:line="360" w:lineRule="auto"/>
        <w:jc w:val="both"/>
        <w:rPr>
          <w:rFonts w:ascii="Lato" w:eastAsia="Times New Roman" w:hAnsi="Lato" w:cs="Times New Roman"/>
          <w:i/>
          <w:iCs/>
          <w:color w:val="0C0C0F"/>
          <w:kern w:val="0"/>
          <w:lang w:eastAsia="it-IT"/>
          <w14:ligatures w14:val="none"/>
        </w:rPr>
      </w:pPr>
      <w:proofErr w:type="gramStart"/>
      <w:r w:rsidRPr="00380110">
        <w:rPr>
          <w:rFonts w:ascii="Lato" w:eastAsia="Times New Roman" w:hAnsi="Lato" w:cs="Times New Roman"/>
          <w:i/>
          <w:iCs/>
          <w:color w:val="0C0C0F"/>
          <w:kern w:val="0"/>
          <w:lang w:eastAsia="it-IT"/>
          <w14:ligatures w14:val="none"/>
        </w:rPr>
        <w:t>Eppure</w:t>
      </w:r>
      <w:proofErr w:type="gramEnd"/>
      <w:r w:rsidRPr="00380110">
        <w:rPr>
          <w:rFonts w:ascii="Lato" w:eastAsia="Times New Roman" w:hAnsi="Lato" w:cs="Times New Roman"/>
          <w:i/>
          <w:iCs/>
          <w:color w:val="0C0C0F"/>
          <w:kern w:val="0"/>
          <w:lang w:eastAsia="it-IT"/>
          <w14:ligatures w14:val="none"/>
        </w:rPr>
        <w:t xml:space="preserve"> l’apparato normativo è già più o meno delineato, tra </w:t>
      </w:r>
      <w:proofErr w:type="gramStart"/>
      <w:r w:rsidRPr="00380110">
        <w:rPr>
          <w:rFonts w:ascii="Lato" w:eastAsia="Times New Roman" w:hAnsi="Lato" w:cs="Times New Roman"/>
          <w:i/>
          <w:iCs/>
          <w:color w:val="0C0C0F"/>
          <w:kern w:val="0"/>
          <w:lang w:eastAsia="it-IT"/>
          <w14:ligatures w14:val="none"/>
        </w:rPr>
        <w:t>AI</w:t>
      </w:r>
      <w:proofErr w:type="gramEnd"/>
      <w:r w:rsidRPr="00380110">
        <w:rPr>
          <w:rFonts w:ascii="Lato" w:eastAsia="Times New Roman" w:hAnsi="Lato" w:cs="Times New Roman"/>
          <w:i/>
          <w:iCs/>
          <w:color w:val="0C0C0F"/>
          <w:kern w:val="0"/>
          <w:lang w:eastAsia="it-IT"/>
          <w14:ligatures w14:val="none"/>
        </w:rPr>
        <w:t xml:space="preserve"> act e disegno di legge del Governo.</w:t>
      </w:r>
      <w:r w:rsidRPr="00380110">
        <w:rPr>
          <w:rFonts w:ascii="Lato" w:eastAsia="Times New Roman" w:hAnsi="Lato" w:cs="Times New Roman"/>
          <w:i/>
          <w:iCs/>
          <w:color w:val="0C0C0F"/>
          <w:kern w:val="0"/>
          <w:lang w:eastAsia="it-IT"/>
          <w14:ligatures w14:val="none"/>
        </w:rPr>
        <w:br/>
        <w:t>Dove si colloca la lacuna? Ne parliamo nell’articolo.</w:t>
      </w:r>
    </w:p>
    <w:p w14:paraId="61BEEA3A" w14:textId="77777777" w:rsidR="00380110" w:rsidRDefault="00380110" w:rsidP="00380110">
      <w:pPr>
        <w:spacing w:line="360" w:lineRule="auto"/>
        <w:jc w:val="both"/>
        <w:rPr>
          <w:rFonts w:ascii="Lato" w:eastAsia="Times New Roman" w:hAnsi="Lato" w:cs="Times New Roman"/>
          <w:i/>
          <w:iCs/>
          <w:color w:val="0C0C0F"/>
          <w:kern w:val="0"/>
          <w:lang w:eastAsia="it-IT"/>
          <w14:ligatures w14:val="none"/>
        </w:rPr>
      </w:pPr>
      <w:r w:rsidRPr="00380110">
        <w:rPr>
          <w:rFonts w:ascii="Lato" w:eastAsia="Times New Roman" w:hAnsi="Lato" w:cs="Times New Roman"/>
          <w:i/>
          <w:iCs/>
          <w:color w:val="0C0C0F"/>
          <w:kern w:val="0"/>
          <w:lang w:eastAsia="it-IT"/>
          <w14:ligatures w14:val="none"/>
        </w:rPr>
        <w:t>L’articolo affronta tre questioni chiave:</w:t>
      </w:r>
    </w:p>
    <w:p w14:paraId="0031039F" w14:textId="742C93BA" w:rsidR="00380110" w:rsidRPr="00380110" w:rsidRDefault="00380110" w:rsidP="00380110">
      <w:pPr>
        <w:spacing w:line="360" w:lineRule="auto"/>
        <w:jc w:val="both"/>
        <w:rPr>
          <w:rFonts w:ascii="Lato" w:eastAsia="Times New Roman" w:hAnsi="Lato" w:cs="Times New Roman"/>
          <w:color w:val="0C0C0F"/>
          <w:kern w:val="0"/>
          <w:lang w:eastAsia="it-IT"/>
          <w14:ligatures w14:val="none"/>
        </w:rPr>
      </w:pPr>
      <w:r w:rsidRPr="00380110">
        <w:rPr>
          <w:rFonts w:ascii="Lato" w:eastAsia="Times New Roman" w:hAnsi="Lato" w:cs="Times New Roman"/>
          <w:i/>
          <w:iCs/>
          <w:color w:val="0C0C0F"/>
          <w:kern w:val="0"/>
          <w:lang w:eastAsia="it-IT"/>
          <w14:ligatures w14:val="none"/>
        </w:rPr>
        <w:t>a) i contenuti minimi che un contratto per la sperimentazione di IA in ambito giudiziario dovrebbe prevedere;</w:t>
      </w:r>
      <w:r w:rsidRPr="00380110">
        <w:rPr>
          <w:rFonts w:ascii="Lato" w:eastAsia="Times New Roman" w:hAnsi="Lato" w:cs="Times New Roman"/>
          <w:i/>
          <w:iCs/>
          <w:color w:val="0C0C0F"/>
          <w:kern w:val="0"/>
          <w:lang w:eastAsia="it-IT"/>
          <w14:ligatures w14:val="none"/>
        </w:rPr>
        <w:br/>
        <w:t>b) le esperienze europee già consolidate con linee guida sull’uso dell’AI nella giurisdizione;</w:t>
      </w:r>
      <w:r w:rsidRPr="00380110">
        <w:rPr>
          <w:rFonts w:ascii="Lato" w:eastAsia="Times New Roman" w:hAnsi="Lato" w:cs="Times New Roman"/>
          <w:i/>
          <w:iCs/>
          <w:color w:val="0C0C0F"/>
          <w:kern w:val="0"/>
          <w:lang w:eastAsia="it-IT"/>
          <w14:ligatures w14:val="none"/>
        </w:rPr>
        <w:br/>
        <w:t>c) e la tempistica di entrata in vigore delle nuove norme sulle attività ad alto rischio.</w:t>
      </w:r>
      <w:r w:rsidRPr="00380110">
        <w:rPr>
          <w:rFonts w:ascii="Lato" w:eastAsia="Times New Roman" w:hAnsi="Lato" w:cs="Times New Roman"/>
          <w:i/>
          <w:iCs/>
          <w:color w:val="0C0C0F"/>
          <w:kern w:val="0"/>
          <w:lang w:eastAsia="it-IT"/>
          <w14:ligatures w14:val="none"/>
        </w:rPr>
        <w:br/>
        <w:t>Buona lettura! </w:t>
      </w:r>
      <w:r w:rsidRPr="00380110">
        <w:rPr>
          <w:rFonts w:ascii="Apple Color Emoji" w:eastAsia="Times New Roman" w:hAnsi="Apple Color Emoji" w:cs="Apple Color Emoji"/>
          <w:i/>
          <w:iCs/>
          <w:color w:val="0C0C0F"/>
          <w:kern w:val="0"/>
          <w:lang w:eastAsia="it-IT"/>
          <w14:ligatures w14:val="none"/>
        </w:rPr>
        <w:t>😊</w:t>
      </w:r>
    </w:p>
    <w:p w14:paraId="04F191CA" w14:textId="77777777" w:rsidR="00380110" w:rsidRPr="00380110" w:rsidRDefault="00380110" w:rsidP="00380110">
      <w:pPr>
        <w:spacing w:line="360" w:lineRule="auto"/>
        <w:jc w:val="both"/>
        <w:rPr>
          <w:rFonts w:ascii="Lato" w:eastAsia="Times New Roman" w:hAnsi="Lato" w:cs="Times New Roman"/>
          <w:color w:val="0C0C0F"/>
          <w:kern w:val="0"/>
          <w:lang w:eastAsia="it-IT"/>
          <w14:ligatures w14:val="none"/>
        </w:rPr>
      </w:pPr>
      <w:r w:rsidRPr="00380110">
        <w:rPr>
          <w:rFonts w:ascii="Lato" w:eastAsia="Times New Roman" w:hAnsi="Lato" w:cs="Times New Roman"/>
          <w:color w:val="0C0C0F"/>
          <w:kern w:val="0"/>
          <w:lang w:eastAsia="it-IT"/>
          <w14:ligatures w14:val="none"/>
        </w:rPr>
        <w:t>Trasparenza dei contratti per la sperimentazione e l’utilizzo dei sistemi di intelligenza artificiale nella Giustizia e un programma di formazione comune, magistrati- avvocati, per assolvere al dovere di </w:t>
      </w:r>
      <w:hyperlink r:id="rId5" w:history="1">
        <w:r w:rsidRPr="00380110">
          <w:rPr>
            <w:rFonts w:ascii="Lato" w:eastAsia="Times New Roman" w:hAnsi="Lato" w:cs="Times New Roman"/>
            <w:b/>
            <w:bCs/>
            <w:color w:val="1E5192"/>
            <w:kern w:val="0"/>
            <w:u w:val="single"/>
            <w:lang w:eastAsia="it-IT"/>
            <w14:ligatures w14:val="none"/>
          </w:rPr>
          <w:t xml:space="preserve">AI </w:t>
        </w:r>
        <w:proofErr w:type="spellStart"/>
        <w:r w:rsidRPr="00380110">
          <w:rPr>
            <w:rFonts w:ascii="Lato" w:eastAsia="Times New Roman" w:hAnsi="Lato" w:cs="Times New Roman"/>
            <w:b/>
            <w:bCs/>
            <w:color w:val="1E5192"/>
            <w:kern w:val="0"/>
            <w:u w:val="single"/>
            <w:lang w:eastAsia="it-IT"/>
            <w14:ligatures w14:val="none"/>
          </w:rPr>
          <w:t>literacy</w:t>
        </w:r>
        <w:proofErr w:type="spellEnd"/>
      </w:hyperlink>
      <w:r w:rsidRPr="00380110">
        <w:rPr>
          <w:rFonts w:ascii="Lato" w:eastAsia="Times New Roman" w:hAnsi="Lato" w:cs="Times New Roman"/>
          <w:color w:val="0C0C0F"/>
          <w:kern w:val="0"/>
          <w:lang w:eastAsia="it-IT"/>
          <w14:ligatures w14:val="none"/>
        </w:rPr>
        <w:t>.</w:t>
      </w:r>
    </w:p>
    <w:p w14:paraId="4272966C" w14:textId="77777777" w:rsidR="00380110" w:rsidRPr="00380110" w:rsidRDefault="00380110" w:rsidP="00380110">
      <w:pPr>
        <w:spacing w:line="360" w:lineRule="auto"/>
        <w:jc w:val="both"/>
        <w:rPr>
          <w:rFonts w:ascii="Lato" w:eastAsia="Times New Roman" w:hAnsi="Lato" w:cs="Times New Roman"/>
          <w:color w:val="0C0C0F"/>
          <w:kern w:val="0"/>
          <w:lang w:eastAsia="it-IT"/>
          <w14:ligatures w14:val="none"/>
        </w:rPr>
      </w:pPr>
      <w:r w:rsidRPr="00380110">
        <w:rPr>
          <w:rFonts w:ascii="Lato" w:eastAsia="Times New Roman" w:hAnsi="Lato" w:cs="Times New Roman"/>
          <w:color w:val="0C0C0F"/>
          <w:kern w:val="0"/>
          <w:lang w:eastAsia="it-IT"/>
          <w14:ligatures w14:val="none"/>
        </w:rPr>
        <w:t>Questo due richieste giungono dall’XVII assemblea nazionale degli Osservatori della Giustizia civile, che si è tenuta a Bologna a giugno scorso.</w:t>
      </w:r>
    </w:p>
    <w:p w14:paraId="4101953C" w14:textId="77777777" w:rsidR="00380110" w:rsidRPr="00380110" w:rsidRDefault="00380110" w:rsidP="00380110">
      <w:pPr>
        <w:spacing w:line="360" w:lineRule="auto"/>
        <w:jc w:val="both"/>
        <w:rPr>
          <w:rFonts w:ascii="Lato" w:eastAsia="Times New Roman" w:hAnsi="Lato" w:cs="Times New Roman"/>
          <w:color w:val="0C0C0F"/>
          <w:kern w:val="0"/>
          <w:lang w:eastAsia="it-IT"/>
          <w14:ligatures w14:val="none"/>
        </w:rPr>
      </w:pPr>
      <w:r w:rsidRPr="00380110">
        <w:rPr>
          <w:rFonts w:ascii="Lato" w:eastAsia="Times New Roman" w:hAnsi="Lato" w:cs="Times New Roman"/>
          <w:color w:val="0C0C0F"/>
          <w:kern w:val="0"/>
          <w:lang w:eastAsia="it-IT"/>
          <w14:ligatures w14:val="none"/>
        </w:rPr>
        <w:t xml:space="preserve">Ne parliamo oggi perché sollevano due questioni importanti, rimaste pericolosamente sottotraccia: la necessità di maggiore trasparenza da parte del Ministero della Giustizia riguardo all’utilizzo di prodotti e piattaforme tecnologiche; e l ‘opportunità di dare un </w:t>
      </w:r>
      <w:r w:rsidRPr="00380110">
        <w:rPr>
          <w:rFonts w:ascii="Lato" w:eastAsia="Times New Roman" w:hAnsi="Lato" w:cs="Times New Roman"/>
          <w:color w:val="0C0C0F"/>
          <w:kern w:val="0"/>
          <w:lang w:eastAsia="it-IT"/>
          <w14:ligatures w14:val="none"/>
        </w:rPr>
        <w:lastRenderedPageBreak/>
        <w:t>contenuto comune a tutti i giuristi, all’articolo 4 dell’</w:t>
      </w:r>
      <w:hyperlink r:id="rId6" w:history="1">
        <w:r w:rsidRPr="00380110">
          <w:rPr>
            <w:rFonts w:ascii="Lato" w:eastAsia="Times New Roman" w:hAnsi="Lato" w:cs="Times New Roman"/>
            <w:b/>
            <w:bCs/>
            <w:color w:val="1E5192"/>
            <w:kern w:val="0"/>
            <w:u w:val="single"/>
            <w:lang w:eastAsia="it-IT"/>
            <w14:ligatures w14:val="none"/>
          </w:rPr>
          <w:t>AI ACT</w:t>
        </w:r>
      </w:hyperlink>
      <w:r w:rsidRPr="00380110">
        <w:rPr>
          <w:rFonts w:ascii="Lato" w:eastAsia="Times New Roman" w:hAnsi="Lato" w:cs="Times New Roman"/>
          <w:color w:val="0C0C0F"/>
          <w:kern w:val="0"/>
          <w:lang w:eastAsia="it-IT"/>
          <w14:ligatures w14:val="none"/>
        </w:rPr>
        <w:t xml:space="preserve">, che impone- già da febbraio scorso- il dovere di </w:t>
      </w:r>
      <w:proofErr w:type="spellStart"/>
      <w:r w:rsidRPr="00380110">
        <w:rPr>
          <w:rFonts w:ascii="Lato" w:eastAsia="Times New Roman" w:hAnsi="Lato" w:cs="Times New Roman"/>
          <w:color w:val="0C0C0F"/>
          <w:kern w:val="0"/>
          <w:lang w:eastAsia="it-IT"/>
          <w14:ligatures w14:val="none"/>
        </w:rPr>
        <w:t>literacy</w:t>
      </w:r>
      <w:proofErr w:type="spellEnd"/>
      <w:r w:rsidRPr="00380110">
        <w:rPr>
          <w:rFonts w:ascii="Lato" w:eastAsia="Times New Roman" w:hAnsi="Lato" w:cs="Times New Roman"/>
          <w:color w:val="0C0C0F"/>
          <w:kern w:val="0"/>
          <w:lang w:eastAsia="it-IT"/>
          <w14:ligatures w14:val="none"/>
        </w:rPr>
        <w:t xml:space="preserve"> per i </w:t>
      </w:r>
      <w:proofErr w:type="spellStart"/>
      <w:r w:rsidRPr="00380110">
        <w:rPr>
          <w:rFonts w:ascii="Lato" w:eastAsia="Times New Roman" w:hAnsi="Lato" w:cs="Times New Roman"/>
          <w:color w:val="0C0C0F"/>
          <w:kern w:val="0"/>
          <w:lang w:eastAsia="it-IT"/>
          <w14:ligatures w14:val="none"/>
        </w:rPr>
        <w:t>deployer</w:t>
      </w:r>
      <w:proofErr w:type="spellEnd"/>
      <w:r w:rsidRPr="00380110">
        <w:rPr>
          <w:rFonts w:ascii="Lato" w:eastAsia="Times New Roman" w:hAnsi="Lato" w:cs="Times New Roman"/>
          <w:color w:val="0C0C0F"/>
          <w:kern w:val="0"/>
          <w:lang w:eastAsia="it-IT"/>
          <w14:ligatures w14:val="none"/>
        </w:rPr>
        <w:t xml:space="preserve"> di sistemi di AI. Leggiamo insieme le conclusioni del Gruppo IA e diritto, fatte proprie dagli Osservatori sulla Giustizia civile, “(…) </w:t>
      </w:r>
      <w:r w:rsidRPr="00380110">
        <w:rPr>
          <w:rFonts w:ascii="Lato" w:eastAsia="Times New Roman" w:hAnsi="Lato" w:cs="Times New Roman"/>
          <w:i/>
          <w:iCs/>
          <w:color w:val="0C0C0F"/>
          <w:kern w:val="0"/>
          <w:lang w:eastAsia="it-IT"/>
          <w14:ligatures w14:val="none"/>
        </w:rPr>
        <w:t>chiedono al Ministro della giustizia di fornire informazioni chiare e facilmente accessibili ai magistrati quanto alle clausole contrattuali relative alle caratteristiche di sistemi di IA già disponibili nei computer d’ufficio; al Ministro della Giustizia di esplicitare, anche ai sensi dell’art. 68 CAD, le scelte in tema di acquisto di sistemi di IA e di sviluppare l’inserimento di tali sistemi tramite sperimentazioni condivise per singoli settori tra programmatori e utilizzatori; al Ministro della giustizia, al CSM, alla Scuola superiore della Magistratura, al CNF di valutare la istituzione di un tavolo comune per la programmazione di moduli formativi rivolti ad avvocati e magistrati in tema di utilizzo di sistemi di IA nel settore giustizia, moduli volti anche alla elaborazione di linee guida condivise in materia</w:t>
      </w:r>
      <w:r w:rsidRPr="00380110">
        <w:rPr>
          <w:rFonts w:ascii="Lato" w:eastAsia="Times New Roman" w:hAnsi="Lato" w:cs="Times New Roman"/>
          <w:color w:val="0C0C0F"/>
          <w:kern w:val="0"/>
          <w:lang w:eastAsia="it-IT"/>
          <w14:ligatures w14:val="none"/>
        </w:rPr>
        <w:t>”.</w:t>
      </w:r>
    </w:p>
    <w:p w14:paraId="74C6FD21" w14:textId="77777777" w:rsidR="00380110" w:rsidRPr="00380110" w:rsidRDefault="00380110" w:rsidP="00380110">
      <w:pPr>
        <w:spacing w:line="360" w:lineRule="auto"/>
        <w:jc w:val="both"/>
        <w:rPr>
          <w:rFonts w:ascii="Lato" w:eastAsia="Times New Roman" w:hAnsi="Lato" w:cs="Times New Roman"/>
          <w:color w:val="0C0C0F"/>
          <w:kern w:val="0"/>
          <w:lang w:eastAsia="it-IT"/>
          <w14:ligatures w14:val="none"/>
        </w:rPr>
      </w:pPr>
      <w:r w:rsidRPr="00380110">
        <w:rPr>
          <w:rFonts w:ascii="Lato" w:eastAsia="Times New Roman" w:hAnsi="Lato" w:cs="Times New Roman"/>
          <w:color w:val="0C0C0F"/>
          <w:kern w:val="0"/>
          <w:lang w:eastAsia="it-IT"/>
          <w14:ligatures w14:val="none"/>
        </w:rPr>
        <w:t>Diciamo che c’è poco da aggiungere, visto che questa rubrica ha sollevato più volte il tema della trasparenza.</w:t>
      </w:r>
    </w:p>
    <w:p w14:paraId="10E9CF21" w14:textId="77777777" w:rsidR="00380110" w:rsidRPr="00380110" w:rsidRDefault="00380110" w:rsidP="00380110">
      <w:pPr>
        <w:spacing w:line="360" w:lineRule="auto"/>
        <w:jc w:val="both"/>
        <w:rPr>
          <w:rFonts w:ascii="Lato" w:eastAsia="Times New Roman" w:hAnsi="Lato" w:cs="Times New Roman"/>
          <w:color w:val="0C0C0F"/>
          <w:kern w:val="0"/>
          <w:lang w:eastAsia="it-IT"/>
          <w14:ligatures w14:val="none"/>
        </w:rPr>
      </w:pPr>
      <w:r w:rsidRPr="00380110">
        <w:rPr>
          <w:rFonts w:ascii="Lato" w:eastAsia="Times New Roman" w:hAnsi="Lato" w:cs="Times New Roman"/>
          <w:color w:val="0C0C0F"/>
          <w:kern w:val="0"/>
          <w:lang w:eastAsia="it-IT"/>
          <w14:ligatures w14:val="none"/>
        </w:rPr>
        <w:t>Secondo quanto risulta, il Ministero - oltre ai programmi di cui abbiamo parlato nell'articolo </w:t>
      </w:r>
      <w:hyperlink r:id="rId7" w:history="1">
        <w:r w:rsidRPr="00380110">
          <w:rPr>
            <w:rFonts w:ascii="Lato" w:eastAsia="Times New Roman" w:hAnsi="Lato" w:cs="Times New Roman"/>
            <w:b/>
            <w:bCs/>
            <w:i/>
            <w:iCs/>
            <w:color w:val="1E5192"/>
            <w:kern w:val="0"/>
            <w:u w:val="single"/>
            <w:lang w:eastAsia="it-IT"/>
            <w14:ligatures w14:val="none"/>
          </w:rPr>
          <w:t>Intelligenza artificiale: tutti i sistemi di AI del Ministero della Giustizia</w:t>
        </w:r>
      </w:hyperlink>
      <w:r w:rsidRPr="00380110">
        <w:rPr>
          <w:rFonts w:ascii="Lato" w:eastAsia="Times New Roman" w:hAnsi="Lato" w:cs="Times New Roman"/>
          <w:color w:val="0C0C0F"/>
          <w:kern w:val="0"/>
          <w:lang w:eastAsia="it-IT"/>
          <w14:ligatures w14:val="none"/>
        </w:rPr>
        <w:t xml:space="preserve"> - starebbe avviando una sperimentazione con </w:t>
      </w:r>
      <w:proofErr w:type="spellStart"/>
      <w:r w:rsidRPr="00380110">
        <w:rPr>
          <w:rFonts w:ascii="Lato" w:eastAsia="Times New Roman" w:hAnsi="Lato" w:cs="Times New Roman"/>
          <w:color w:val="0C0C0F"/>
          <w:kern w:val="0"/>
          <w:lang w:eastAsia="it-IT"/>
          <w14:ligatures w14:val="none"/>
        </w:rPr>
        <w:t>Copilot</w:t>
      </w:r>
      <w:proofErr w:type="spellEnd"/>
      <w:r w:rsidRPr="00380110">
        <w:rPr>
          <w:rFonts w:ascii="Lato" w:eastAsia="Times New Roman" w:hAnsi="Lato" w:cs="Times New Roman"/>
          <w:color w:val="0C0C0F"/>
          <w:kern w:val="0"/>
          <w:lang w:eastAsia="it-IT"/>
          <w14:ligatures w14:val="none"/>
        </w:rPr>
        <w:t xml:space="preserve">, il modello general </w:t>
      </w:r>
      <w:proofErr w:type="spellStart"/>
      <w:r w:rsidRPr="00380110">
        <w:rPr>
          <w:rFonts w:ascii="Lato" w:eastAsia="Times New Roman" w:hAnsi="Lato" w:cs="Times New Roman"/>
          <w:color w:val="0C0C0F"/>
          <w:kern w:val="0"/>
          <w:lang w:eastAsia="it-IT"/>
          <w14:ligatures w14:val="none"/>
        </w:rPr>
        <w:t>purpose</w:t>
      </w:r>
      <w:proofErr w:type="spellEnd"/>
      <w:r w:rsidRPr="00380110">
        <w:rPr>
          <w:rFonts w:ascii="Lato" w:eastAsia="Times New Roman" w:hAnsi="Lato" w:cs="Times New Roman"/>
          <w:color w:val="0C0C0F"/>
          <w:kern w:val="0"/>
          <w:lang w:eastAsia="it-IT"/>
          <w14:ligatures w14:val="none"/>
        </w:rPr>
        <w:t xml:space="preserve"> di Microsoft, già partner istituzionale di via Arenula per le udienze da remoto.</w:t>
      </w:r>
    </w:p>
    <w:p w14:paraId="74BBED4B" w14:textId="77777777" w:rsidR="00380110" w:rsidRPr="00380110" w:rsidRDefault="00380110" w:rsidP="00380110">
      <w:pPr>
        <w:spacing w:line="360" w:lineRule="auto"/>
        <w:jc w:val="both"/>
        <w:rPr>
          <w:rFonts w:ascii="Lato" w:eastAsia="Times New Roman" w:hAnsi="Lato" w:cs="Times New Roman"/>
          <w:color w:val="0C0C0F"/>
          <w:kern w:val="0"/>
          <w:lang w:eastAsia="it-IT"/>
          <w14:ligatures w14:val="none"/>
        </w:rPr>
      </w:pPr>
      <w:r w:rsidRPr="00380110">
        <w:rPr>
          <w:rFonts w:ascii="Lato" w:eastAsia="Times New Roman" w:hAnsi="Lato" w:cs="Times New Roman"/>
          <w:color w:val="0C0C0F"/>
          <w:kern w:val="0"/>
          <w:lang w:eastAsia="it-IT"/>
          <w14:ligatures w14:val="none"/>
        </w:rPr>
        <w:t>Ma su quali basi si è avviata questa sperimentazione? E sulla base di quale convenzione/contratto e licenze? Non è dato sapere.</w:t>
      </w:r>
    </w:p>
    <w:p w14:paraId="688B3AF3" w14:textId="77777777" w:rsidR="00380110" w:rsidRDefault="00380110" w:rsidP="00380110">
      <w:pPr>
        <w:spacing w:line="360" w:lineRule="auto"/>
        <w:jc w:val="both"/>
        <w:rPr>
          <w:rFonts w:ascii="Lato" w:eastAsia="Times New Roman" w:hAnsi="Lato" w:cs="Times New Roman"/>
          <w:color w:val="0C0C0F"/>
          <w:kern w:val="0"/>
          <w:lang w:eastAsia="it-IT"/>
          <w14:ligatures w14:val="none"/>
        </w:rPr>
      </w:pPr>
      <w:r w:rsidRPr="00380110">
        <w:rPr>
          <w:rFonts w:ascii="Lato" w:eastAsia="Times New Roman" w:hAnsi="Lato" w:cs="Times New Roman"/>
          <w:color w:val="0C0C0F"/>
          <w:kern w:val="0"/>
          <w:lang w:eastAsia="it-IT"/>
          <w14:ligatures w14:val="none"/>
        </w:rPr>
        <w:t xml:space="preserve">Non se ne viene a capo neanche interrogando la sezione Trasparenza del </w:t>
      </w:r>
      <w:proofErr w:type="gramStart"/>
      <w:r w:rsidRPr="00380110">
        <w:rPr>
          <w:rFonts w:ascii="Lato" w:eastAsia="Times New Roman" w:hAnsi="Lato" w:cs="Times New Roman"/>
          <w:color w:val="0C0C0F"/>
          <w:kern w:val="0"/>
          <w:lang w:eastAsia="it-IT"/>
          <w14:ligatures w14:val="none"/>
        </w:rPr>
        <w:t>Ministero;</w:t>
      </w:r>
      <w:proofErr w:type="gramEnd"/>
      <w:r w:rsidRPr="00380110">
        <w:rPr>
          <w:rFonts w:ascii="Lato" w:eastAsia="Times New Roman" w:hAnsi="Lato" w:cs="Times New Roman"/>
          <w:color w:val="0C0C0F"/>
          <w:kern w:val="0"/>
          <w:lang w:eastAsia="it-IT"/>
          <w14:ligatures w14:val="none"/>
        </w:rPr>
        <w:t xml:space="preserve"> e neanche formulando una precisa richiesta di informazioni all’Ufficio stampa. Come sempre, peccato!</w:t>
      </w:r>
    </w:p>
    <w:p w14:paraId="52B5D8F1" w14:textId="77777777" w:rsidR="00380110" w:rsidRPr="00380110" w:rsidRDefault="00380110" w:rsidP="00380110">
      <w:pPr>
        <w:spacing w:line="360" w:lineRule="auto"/>
        <w:jc w:val="both"/>
        <w:rPr>
          <w:rFonts w:ascii="Lato" w:eastAsia="Times New Roman" w:hAnsi="Lato" w:cs="Times New Roman"/>
          <w:color w:val="0C0C0F"/>
          <w:kern w:val="0"/>
          <w:lang w:eastAsia="it-IT"/>
          <w14:ligatures w14:val="none"/>
        </w:rPr>
      </w:pPr>
    </w:p>
    <w:p w14:paraId="40615AE9" w14:textId="77777777" w:rsidR="00380110" w:rsidRPr="00380110" w:rsidRDefault="00380110" w:rsidP="00380110">
      <w:pPr>
        <w:spacing w:line="360" w:lineRule="auto"/>
        <w:jc w:val="both"/>
        <w:outlineLvl w:val="1"/>
        <w:rPr>
          <w:rFonts w:ascii="Lato" w:eastAsia="Times New Roman" w:hAnsi="Lato" w:cs="Times New Roman"/>
          <w:b/>
          <w:bCs/>
          <w:color w:val="0C0C0F"/>
          <w:kern w:val="0"/>
          <w:sz w:val="36"/>
          <w:szCs w:val="36"/>
          <w:lang w:eastAsia="it-IT"/>
          <w14:ligatures w14:val="none"/>
        </w:rPr>
      </w:pPr>
      <w:r w:rsidRPr="00380110">
        <w:rPr>
          <w:rFonts w:ascii="Lato" w:eastAsia="Times New Roman" w:hAnsi="Lato" w:cs="Times New Roman"/>
          <w:b/>
          <w:bCs/>
          <w:color w:val="0C0C0F"/>
          <w:kern w:val="0"/>
          <w:sz w:val="36"/>
          <w:szCs w:val="36"/>
          <w:lang w:eastAsia="it-IT"/>
          <w14:ligatures w14:val="none"/>
        </w:rPr>
        <w:t>Linee Guida sulla AI nella Giustizia</w:t>
      </w:r>
    </w:p>
    <w:p w14:paraId="71E9864A" w14:textId="77777777" w:rsidR="00380110" w:rsidRPr="00380110" w:rsidRDefault="00380110" w:rsidP="00380110">
      <w:pPr>
        <w:spacing w:line="360" w:lineRule="auto"/>
        <w:jc w:val="both"/>
        <w:rPr>
          <w:rFonts w:ascii="Lato" w:eastAsia="Times New Roman" w:hAnsi="Lato" w:cs="Times New Roman"/>
          <w:color w:val="0C0C0F"/>
          <w:kern w:val="0"/>
          <w:lang w:eastAsia="it-IT"/>
          <w14:ligatures w14:val="none"/>
        </w:rPr>
      </w:pPr>
      <w:r w:rsidRPr="00380110">
        <w:rPr>
          <w:rFonts w:ascii="Lato" w:eastAsia="Times New Roman" w:hAnsi="Lato" w:cs="Times New Roman"/>
          <w:color w:val="0C0C0F"/>
          <w:kern w:val="0"/>
          <w:lang w:eastAsia="it-IT"/>
          <w14:ligatures w14:val="none"/>
        </w:rPr>
        <w:t>Il secondo aspetto di quello che ci appare una mancata governance chiara e trasparente, è l’assenza di Linee Guida che possano orientare, da qui fino all’entrata in vigore dell’AI ACT sui sistemi ad alto rischio e del disegno di legge governativo, gli operatori del diritto, che sicuramente ne stanno facendo uso (chi non ne fa?) ma senza un framework di orientamento.</w:t>
      </w:r>
    </w:p>
    <w:p w14:paraId="26D1C96F" w14:textId="77777777" w:rsidR="00380110" w:rsidRPr="00380110" w:rsidRDefault="00380110" w:rsidP="00380110">
      <w:pPr>
        <w:spacing w:line="360" w:lineRule="auto"/>
        <w:jc w:val="both"/>
        <w:rPr>
          <w:rFonts w:ascii="Lato" w:eastAsia="Times New Roman" w:hAnsi="Lato" w:cs="Times New Roman"/>
          <w:color w:val="0C0C0F"/>
          <w:kern w:val="0"/>
          <w:lang w:eastAsia="it-IT"/>
          <w14:ligatures w14:val="none"/>
        </w:rPr>
      </w:pPr>
      <w:r w:rsidRPr="00380110">
        <w:rPr>
          <w:rFonts w:ascii="Lato" w:eastAsia="Times New Roman" w:hAnsi="Lato" w:cs="Times New Roman"/>
          <w:color w:val="0C0C0F"/>
          <w:kern w:val="0"/>
          <w:lang w:eastAsia="it-IT"/>
          <w14:ligatures w14:val="none"/>
        </w:rPr>
        <w:t>Eppure, già molti Paesi Ue (e anche non Ue, come Singapore da ultimo) hanno adottato specifiche direttive.</w:t>
      </w:r>
    </w:p>
    <w:p w14:paraId="5929673D" w14:textId="77777777" w:rsidR="00380110" w:rsidRPr="00380110" w:rsidRDefault="00380110" w:rsidP="00380110">
      <w:pPr>
        <w:spacing w:line="360" w:lineRule="auto"/>
        <w:jc w:val="both"/>
        <w:rPr>
          <w:rFonts w:ascii="Lato" w:eastAsia="Times New Roman" w:hAnsi="Lato" w:cs="Times New Roman"/>
          <w:color w:val="0C0C0F"/>
          <w:kern w:val="0"/>
          <w:lang w:eastAsia="it-IT"/>
          <w14:ligatures w14:val="none"/>
        </w:rPr>
      </w:pPr>
      <w:r w:rsidRPr="00380110">
        <w:rPr>
          <w:rFonts w:ascii="Lato" w:eastAsia="Times New Roman" w:hAnsi="Lato" w:cs="Times New Roman"/>
          <w:color w:val="0C0C0F"/>
          <w:kern w:val="0"/>
          <w:lang w:eastAsia="it-IT"/>
          <w14:ligatures w14:val="none"/>
        </w:rPr>
        <w:t>In Francia, il </w:t>
      </w:r>
      <w:proofErr w:type="spellStart"/>
      <w:r w:rsidRPr="00380110">
        <w:rPr>
          <w:rFonts w:ascii="Lato" w:eastAsia="Times New Roman" w:hAnsi="Lato" w:cs="Times New Roman"/>
          <w:i/>
          <w:iCs/>
          <w:color w:val="0C0C0F"/>
          <w:kern w:val="0"/>
          <w:lang w:eastAsia="it-IT"/>
          <w14:ligatures w14:val="none"/>
        </w:rPr>
        <w:t>Tribunal</w:t>
      </w:r>
      <w:proofErr w:type="spellEnd"/>
      <w:r w:rsidRPr="00380110">
        <w:rPr>
          <w:rFonts w:ascii="Lato" w:eastAsia="Times New Roman" w:hAnsi="Lato" w:cs="Times New Roman"/>
          <w:i/>
          <w:iCs/>
          <w:color w:val="0C0C0F"/>
          <w:kern w:val="0"/>
          <w:lang w:eastAsia="it-IT"/>
          <w14:ligatures w14:val="none"/>
        </w:rPr>
        <w:t xml:space="preserve"> </w:t>
      </w:r>
      <w:proofErr w:type="spellStart"/>
      <w:r w:rsidRPr="00380110">
        <w:rPr>
          <w:rFonts w:ascii="Lato" w:eastAsia="Times New Roman" w:hAnsi="Lato" w:cs="Times New Roman"/>
          <w:i/>
          <w:iCs/>
          <w:color w:val="0C0C0F"/>
          <w:kern w:val="0"/>
          <w:lang w:eastAsia="it-IT"/>
          <w14:ligatures w14:val="none"/>
        </w:rPr>
        <w:t>des</w:t>
      </w:r>
      <w:proofErr w:type="spellEnd"/>
      <w:r w:rsidRPr="00380110">
        <w:rPr>
          <w:rFonts w:ascii="Lato" w:eastAsia="Times New Roman" w:hAnsi="Lato" w:cs="Times New Roman"/>
          <w:i/>
          <w:iCs/>
          <w:color w:val="0C0C0F"/>
          <w:kern w:val="0"/>
          <w:lang w:eastAsia="it-IT"/>
          <w14:ligatures w14:val="none"/>
        </w:rPr>
        <w:t xml:space="preserve"> </w:t>
      </w:r>
      <w:proofErr w:type="spellStart"/>
      <w:r w:rsidRPr="00380110">
        <w:rPr>
          <w:rFonts w:ascii="Lato" w:eastAsia="Times New Roman" w:hAnsi="Lato" w:cs="Times New Roman"/>
          <w:i/>
          <w:iCs/>
          <w:color w:val="0C0C0F"/>
          <w:kern w:val="0"/>
          <w:lang w:eastAsia="it-IT"/>
          <w14:ligatures w14:val="none"/>
        </w:rPr>
        <w:t>activités</w:t>
      </w:r>
      <w:proofErr w:type="spellEnd"/>
      <w:r w:rsidRPr="00380110">
        <w:rPr>
          <w:rFonts w:ascii="Lato" w:eastAsia="Times New Roman" w:hAnsi="Lato" w:cs="Times New Roman"/>
          <w:i/>
          <w:iCs/>
          <w:color w:val="0C0C0F"/>
          <w:kern w:val="0"/>
          <w:lang w:eastAsia="it-IT"/>
          <w14:ligatures w14:val="none"/>
        </w:rPr>
        <w:t xml:space="preserve"> </w:t>
      </w:r>
      <w:proofErr w:type="spellStart"/>
      <w:r w:rsidRPr="00380110">
        <w:rPr>
          <w:rFonts w:ascii="Lato" w:eastAsia="Times New Roman" w:hAnsi="Lato" w:cs="Times New Roman"/>
          <w:i/>
          <w:iCs/>
          <w:color w:val="0C0C0F"/>
          <w:kern w:val="0"/>
          <w:lang w:eastAsia="it-IT"/>
          <w14:ligatures w14:val="none"/>
        </w:rPr>
        <w:t>économiques</w:t>
      </w:r>
      <w:proofErr w:type="spellEnd"/>
      <w:r w:rsidRPr="00380110">
        <w:rPr>
          <w:rFonts w:ascii="Lato" w:eastAsia="Times New Roman" w:hAnsi="Lato" w:cs="Times New Roman"/>
          <w:i/>
          <w:iCs/>
          <w:color w:val="0C0C0F"/>
          <w:kern w:val="0"/>
          <w:lang w:eastAsia="it-IT"/>
          <w14:ligatures w14:val="none"/>
        </w:rPr>
        <w:t xml:space="preserve"> de Paris</w:t>
      </w:r>
      <w:r w:rsidRPr="00380110">
        <w:rPr>
          <w:rFonts w:ascii="Lato" w:eastAsia="Times New Roman" w:hAnsi="Lato" w:cs="Times New Roman"/>
          <w:color w:val="0C0C0F"/>
          <w:kern w:val="0"/>
          <w:lang w:eastAsia="it-IT"/>
          <w14:ligatures w14:val="none"/>
        </w:rPr>
        <w:t xml:space="preserve"> (Tribunale commerciale di Parigi) ha adottato proprio a </w:t>
      </w:r>
      <w:proofErr w:type="gramStart"/>
      <w:r w:rsidRPr="00380110">
        <w:rPr>
          <w:rFonts w:ascii="Lato" w:eastAsia="Times New Roman" w:hAnsi="Lato" w:cs="Times New Roman"/>
          <w:color w:val="0C0C0F"/>
          <w:kern w:val="0"/>
          <w:lang w:eastAsia="it-IT"/>
          <w14:ligatures w14:val="none"/>
        </w:rPr>
        <w:t>settembre  una</w:t>
      </w:r>
      <w:proofErr w:type="gramEnd"/>
      <w:r w:rsidRPr="00380110">
        <w:rPr>
          <w:rFonts w:ascii="Lato" w:eastAsia="Times New Roman" w:hAnsi="Lato" w:cs="Times New Roman"/>
          <w:color w:val="0C0C0F"/>
          <w:kern w:val="0"/>
          <w:lang w:eastAsia="it-IT"/>
          <w14:ligatures w14:val="none"/>
        </w:rPr>
        <w:t xml:space="preserve"> carta interna ‘</w:t>
      </w:r>
      <w:proofErr w:type="spellStart"/>
      <w:r w:rsidRPr="00380110">
        <w:rPr>
          <w:rFonts w:ascii="Lato" w:eastAsia="Times New Roman" w:hAnsi="Lato" w:cs="Times New Roman"/>
          <w:i/>
          <w:iCs/>
          <w:color w:val="0C0C0F"/>
          <w:kern w:val="0"/>
          <w:lang w:eastAsia="it-IT"/>
          <w14:ligatures w14:val="none"/>
        </w:rPr>
        <w:t>Charte</w:t>
      </w:r>
      <w:proofErr w:type="spellEnd"/>
      <w:r w:rsidRPr="00380110">
        <w:rPr>
          <w:rFonts w:ascii="Lato" w:eastAsia="Times New Roman" w:hAnsi="Lato" w:cs="Times New Roman"/>
          <w:i/>
          <w:iCs/>
          <w:color w:val="0C0C0F"/>
          <w:kern w:val="0"/>
          <w:lang w:eastAsia="it-IT"/>
          <w14:ligatures w14:val="none"/>
        </w:rPr>
        <w:t xml:space="preserve"> sur l’</w:t>
      </w:r>
      <w:proofErr w:type="spellStart"/>
      <w:r w:rsidRPr="00380110">
        <w:rPr>
          <w:rFonts w:ascii="Lato" w:eastAsia="Times New Roman" w:hAnsi="Lato" w:cs="Times New Roman"/>
          <w:i/>
          <w:iCs/>
          <w:color w:val="0C0C0F"/>
          <w:kern w:val="0"/>
          <w:lang w:eastAsia="it-IT"/>
          <w14:ligatures w14:val="none"/>
        </w:rPr>
        <w:t>usage</w:t>
      </w:r>
      <w:proofErr w:type="spellEnd"/>
      <w:r w:rsidRPr="00380110">
        <w:rPr>
          <w:rFonts w:ascii="Lato" w:eastAsia="Times New Roman" w:hAnsi="Lato" w:cs="Times New Roman"/>
          <w:i/>
          <w:iCs/>
          <w:color w:val="0C0C0F"/>
          <w:kern w:val="0"/>
          <w:lang w:eastAsia="it-IT"/>
          <w14:ligatures w14:val="none"/>
        </w:rPr>
        <w:t xml:space="preserve"> </w:t>
      </w:r>
      <w:proofErr w:type="spellStart"/>
      <w:r w:rsidRPr="00380110">
        <w:rPr>
          <w:rFonts w:ascii="Lato" w:eastAsia="Times New Roman" w:hAnsi="Lato" w:cs="Times New Roman"/>
          <w:i/>
          <w:iCs/>
          <w:color w:val="0C0C0F"/>
          <w:kern w:val="0"/>
          <w:lang w:eastAsia="it-IT"/>
          <w14:ligatures w14:val="none"/>
        </w:rPr>
        <w:t>des</w:t>
      </w:r>
      <w:proofErr w:type="spellEnd"/>
      <w:r w:rsidRPr="00380110">
        <w:rPr>
          <w:rFonts w:ascii="Lato" w:eastAsia="Times New Roman" w:hAnsi="Lato" w:cs="Times New Roman"/>
          <w:i/>
          <w:iCs/>
          <w:color w:val="0C0C0F"/>
          <w:kern w:val="0"/>
          <w:lang w:eastAsia="it-IT"/>
          <w14:ligatures w14:val="none"/>
        </w:rPr>
        <w:t xml:space="preserve"> </w:t>
      </w:r>
      <w:proofErr w:type="spellStart"/>
      <w:r w:rsidRPr="00380110">
        <w:rPr>
          <w:rFonts w:ascii="Lato" w:eastAsia="Times New Roman" w:hAnsi="Lato" w:cs="Times New Roman"/>
          <w:i/>
          <w:iCs/>
          <w:color w:val="0C0C0F"/>
          <w:kern w:val="0"/>
          <w:lang w:eastAsia="it-IT"/>
          <w14:ligatures w14:val="none"/>
        </w:rPr>
        <w:t>systèmes</w:t>
      </w:r>
      <w:proofErr w:type="spellEnd"/>
      <w:r w:rsidRPr="00380110">
        <w:rPr>
          <w:rFonts w:ascii="Lato" w:eastAsia="Times New Roman" w:hAnsi="Lato" w:cs="Times New Roman"/>
          <w:i/>
          <w:iCs/>
          <w:color w:val="0C0C0F"/>
          <w:kern w:val="0"/>
          <w:lang w:eastAsia="it-IT"/>
          <w14:ligatures w14:val="none"/>
        </w:rPr>
        <w:t xml:space="preserve"> d’IA et </w:t>
      </w:r>
      <w:proofErr w:type="spellStart"/>
      <w:r w:rsidRPr="00380110">
        <w:rPr>
          <w:rFonts w:ascii="Lato" w:eastAsia="Times New Roman" w:hAnsi="Lato" w:cs="Times New Roman"/>
          <w:i/>
          <w:iCs/>
          <w:color w:val="0C0C0F"/>
          <w:kern w:val="0"/>
          <w:lang w:eastAsia="it-IT"/>
          <w14:ligatures w14:val="none"/>
        </w:rPr>
        <w:t>des</w:t>
      </w:r>
      <w:proofErr w:type="spellEnd"/>
      <w:r w:rsidRPr="00380110">
        <w:rPr>
          <w:rFonts w:ascii="Lato" w:eastAsia="Times New Roman" w:hAnsi="Lato" w:cs="Times New Roman"/>
          <w:i/>
          <w:iCs/>
          <w:color w:val="0C0C0F"/>
          <w:kern w:val="0"/>
          <w:lang w:eastAsia="it-IT"/>
          <w14:ligatures w14:val="none"/>
        </w:rPr>
        <w:t xml:space="preserve"> </w:t>
      </w:r>
      <w:proofErr w:type="spellStart"/>
      <w:r w:rsidRPr="00380110">
        <w:rPr>
          <w:rFonts w:ascii="Lato" w:eastAsia="Times New Roman" w:hAnsi="Lato" w:cs="Times New Roman"/>
          <w:i/>
          <w:iCs/>
          <w:color w:val="0C0C0F"/>
          <w:kern w:val="0"/>
          <w:lang w:eastAsia="it-IT"/>
          <w14:ligatures w14:val="none"/>
        </w:rPr>
        <w:lastRenderedPageBreak/>
        <w:t>données</w:t>
      </w:r>
      <w:proofErr w:type="spellEnd"/>
      <w:r w:rsidRPr="00380110">
        <w:rPr>
          <w:rFonts w:ascii="Lato" w:eastAsia="Times New Roman" w:hAnsi="Lato" w:cs="Times New Roman"/>
          <w:i/>
          <w:iCs/>
          <w:color w:val="0C0C0F"/>
          <w:kern w:val="0"/>
          <w:lang w:eastAsia="it-IT"/>
          <w14:ligatures w14:val="none"/>
        </w:rPr>
        <w:t xml:space="preserve"> </w:t>
      </w:r>
      <w:proofErr w:type="spellStart"/>
      <w:r w:rsidRPr="00380110">
        <w:rPr>
          <w:rFonts w:ascii="Lato" w:eastAsia="Times New Roman" w:hAnsi="Lato" w:cs="Times New Roman"/>
          <w:i/>
          <w:iCs/>
          <w:color w:val="0C0C0F"/>
          <w:kern w:val="0"/>
          <w:lang w:eastAsia="it-IT"/>
          <w14:ligatures w14:val="none"/>
        </w:rPr>
        <w:t>personnelles</w:t>
      </w:r>
      <w:proofErr w:type="spellEnd"/>
      <w:r w:rsidRPr="00380110">
        <w:rPr>
          <w:rFonts w:ascii="Lato" w:eastAsia="Times New Roman" w:hAnsi="Lato" w:cs="Times New Roman"/>
          <w:i/>
          <w:iCs/>
          <w:color w:val="0C0C0F"/>
          <w:kern w:val="0"/>
          <w:lang w:eastAsia="it-IT"/>
          <w14:ligatures w14:val="none"/>
        </w:rPr>
        <w:t xml:space="preserve"> et </w:t>
      </w:r>
      <w:proofErr w:type="spellStart"/>
      <w:r w:rsidRPr="00380110">
        <w:rPr>
          <w:rFonts w:ascii="Lato" w:eastAsia="Times New Roman" w:hAnsi="Lato" w:cs="Times New Roman"/>
          <w:i/>
          <w:iCs/>
          <w:color w:val="0C0C0F"/>
          <w:kern w:val="0"/>
          <w:lang w:eastAsia="it-IT"/>
          <w14:ligatures w14:val="none"/>
        </w:rPr>
        <w:t>sensibles</w:t>
      </w:r>
      <w:proofErr w:type="spellEnd"/>
      <w:r w:rsidRPr="00380110">
        <w:rPr>
          <w:rFonts w:ascii="Lato" w:eastAsia="Times New Roman" w:hAnsi="Lato" w:cs="Times New Roman"/>
          <w:color w:val="0C0C0F"/>
          <w:kern w:val="0"/>
          <w:lang w:eastAsia="it-IT"/>
          <w14:ligatures w14:val="none"/>
        </w:rPr>
        <w:t>’, riaffermando che l’IA è solo ausilio e non si sostituisce al giudice.</w:t>
      </w:r>
    </w:p>
    <w:p w14:paraId="246A66AE" w14:textId="77777777" w:rsidR="00380110" w:rsidRPr="00380110" w:rsidRDefault="00380110" w:rsidP="00380110">
      <w:pPr>
        <w:spacing w:line="360" w:lineRule="auto"/>
        <w:jc w:val="both"/>
        <w:rPr>
          <w:rFonts w:ascii="Lato" w:eastAsia="Times New Roman" w:hAnsi="Lato" w:cs="Times New Roman"/>
          <w:color w:val="0C0C0F"/>
          <w:kern w:val="0"/>
          <w:lang w:eastAsia="it-IT"/>
          <w14:ligatures w14:val="none"/>
        </w:rPr>
      </w:pPr>
      <w:r w:rsidRPr="00380110">
        <w:rPr>
          <w:rFonts w:ascii="Lato" w:eastAsia="Times New Roman" w:hAnsi="Lato" w:cs="Times New Roman"/>
          <w:color w:val="0C0C0F"/>
          <w:kern w:val="0"/>
          <w:lang w:eastAsia="it-IT"/>
          <w14:ligatures w14:val="none"/>
        </w:rPr>
        <w:t>La Corte di cassazione francese, in aprile, ha adottato il Rapporto/</w:t>
      </w:r>
      <w:proofErr w:type="spellStart"/>
      <w:r w:rsidRPr="00380110">
        <w:rPr>
          <w:rFonts w:ascii="Lato" w:eastAsia="Times New Roman" w:hAnsi="Lato" w:cs="Times New Roman"/>
          <w:color w:val="0C0C0F"/>
          <w:kern w:val="0"/>
          <w:lang w:eastAsia="it-IT"/>
          <w14:ligatures w14:val="none"/>
        </w:rPr>
        <w:t>feuille</w:t>
      </w:r>
      <w:proofErr w:type="spellEnd"/>
      <w:r w:rsidRPr="00380110">
        <w:rPr>
          <w:rFonts w:ascii="Lato" w:eastAsia="Times New Roman" w:hAnsi="Lato" w:cs="Times New Roman"/>
          <w:color w:val="0C0C0F"/>
          <w:kern w:val="0"/>
          <w:lang w:eastAsia="it-IT"/>
          <w14:ligatures w14:val="none"/>
        </w:rPr>
        <w:t xml:space="preserve"> de </w:t>
      </w:r>
      <w:proofErr w:type="spellStart"/>
      <w:r w:rsidRPr="00380110">
        <w:rPr>
          <w:rFonts w:ascii="Lato" w:eastAsia="Times New Roman" w:hAnsi="Lato" w:cs="Times New Roman"/>
          <w:color w:val="0C0C0F"/>
          <w:kern w:val="0"/>
          <w:lang w:eastAsia="it-IT"/>
          <w14:ligatures w14:val="none"/>
        </w:rPr>
        <w:t>route</w:t>
      </w:r>
      <w:proofErr w:type="spellEnd"/>
      <w:r w:rsidRPr="00380110">
        <w:rPr>
          <w:rFonts w:ascii="Lato" w:eastAsia="Times New Roman" w:hAnsi="Lato" w:cs="Times New Roman"/>
          <w:color w:val="0C0C0F"/>
          <w:kern w:val="0"/>
          <w:lang w:eastAsia="it-IT"/>
          <w14:ligatures w14:val="none"/>
        </w:rPr>
        <w:t> </w:t>
      </w:r>
      <w:r w:rsidRPr="00380110">
        <w:rPr>
          <w:rFonts w:ascii="Lato" w:eastAsia="Times New Roman" w:hAnsi="Lato" w:cs="Times New Roman"/>
          <w:i/>
          <w:iCs/>
          <w:color w:val="0C0C0F"/>
          <w:kern w:val="0"/>
          <w:lang w:eastAsia="it-IT"/>
          <w14:ligatures w14:val="none"/>
        </w:rPr>
        <w:t xml:space="preserve">“L’Intelligence </w:t>
      </w:r>
      <w:proofErr w:type="spellStart"/>
      <w:r w:rsidRPr="00380110">
        <w:rPr>
          <w:rFonts w:ascii="Lato" w:eastAsia="Times New Roman" w:hAnsi="Lato" w:cs="Times New Roman"/>
          <w:i/>
          <w:iCs/>
          <w:color w:val="0C0C0F"/>
          <w:kern w:val="0"/>
          <w:lang w:eastAsia="it-IT"/>
          <w14:ligatures w14:val="none"/>
        </w:rPr>
        <w:t>artificielle</w:t>
      </w:r>
      <w:proofErr w:type="spellEnd"/>
      <w:r w:rsidRPr="00380110">
        <w:rPr>
          <w:rFonts w:ascii="Lato" w:eastAsia="Times New Roman" w:hAnsi="Lato" w:cs="Times New Roman"/>
          <w:i/>
          <w:iCs/>
          <w:color w:val="0C0C0F"/>
          <w:kern w:val="0"/>
          <w:lang w:eastAsia="it-IT"/>
          <w14:ligatures w14:val="none"/>
        </w:rPr>
        <w:t xml:space="preserve"> </w:t>
      </w:r>
      <w:proofErr w:type="spellStart"/>
      <w:r w:rsidRPr="00380110">
        <w:rPr>
          <w:rFonts w:ascii="Lato" w:eastAsia="Times New Roman" w:hAnsi="Lato" w:cs="Times New Roman"/>
          <w:i/>
          <w:iCs/>
          <w:color w:val="0C0C0F"/>
          <w:kern w:val="0"/>
          <w:lang w:eastAsia="it-IT"/>
          <w14:ligatures w14:val="none"/>
        </w:rPr>
        <w:t>au</w:t>
      </w:r>
      <w:proofErr w:type="spellEnd"/>
      <w:r w:rsidRPr="00380110">
        <w:rPr>
          <w:rFonts w:ascii="Lato" w:eastAsia="Times New Roman" w:hAnsi="Lato" w:cs="Times New Roman"/>
          <w:i/>
          <w:iCs/>
          <w:color w:val="0C0C0F"/>
          <w:kern w:val="0"/>
          <w:lang w:eastAsia="it-IT"/>
          <w14:ligatures w14:val="none"/>
        </w:rPr>
        <w:t xml:space="preserve"> service de la </w:t>
      </w:r>
      <w:proofErr w:type="spellStart"/>
      <w:r w:rsidRPr="00380110">
        <w:rPr>
          <w:rFonts w:ascii="Lato" w:eastAsia="Times New Roman" w:hAnsi="Lato" w:cs="Times New Roman"/>
          <w:i/>
          <w:iCs/>
          <w:color w:val="0C0C0F"/>
          <w:kern w:val="0"/>
          <w:lang w:eastAsia="it-IT"/>
          <w14:ligatures w14:val="none"/>
        </w:rPr>
        <w:t>justice</w:t>
      </w:r>
      <w:proofErr w:type="spellEnd"/>
      <w:r w:rsidRPr="00380110">
        <w:rPr>
          <w:rFonts w:ascii="Lato" w:eastAsia="Times New Roman" w:hAnsi="Lato" w:cs="Times New Roman"/>
          <w:color w:val="0C0C0F"/>
          <w:kern w:val="0"/>
          <w:lang w:eastAsia="it-IT"/>
          <w14:ligatures w14:val="none"/>
        </w:rPr>
        <w:t xml:space="preserve">”, che fissa principi direttivi e </w:t>
      </w:r>
      <w:proofErr w:type="spellStart"/>
      <w:r w:rsidRPr="00380110">
        <w:rPr>
          <w:rFonts w:ascii="Lato" w:eastAsia="Times New Roman" w:hAnsi="Lato" w:cs="Times New Roman"/>
          <w:color w:val="0C0C0F"/>
          <w:kern w:val="0"/>
          <w:lang w:eastAsia="it-IT"/>
          <w14:ligatures w14:val="none"/>
        </w:rPr>
        <w:t>pre</w:t>
      </w:r>
      <w:proofErr w:type="spellEnd"/>
      <w:r w:rsidRPr="00380110">
        <w:rPr>
          <w:rFonts w:ascii="Lato" w:eastAsia="Times New Roman" w:hAnsi="Lato" w:cs="Times New Roman"/>
          <w:color w:val="0C0C0F"/>
          <w:kern w:val="0"/>
          <w:lang w:eastAsia="it-IT"/>
          <w14:ligatures w14:val="none"/>
        </w:rPr>
        <w:t xml:space="preserve">-requisiti per i progetti IA nella Corte Il </w:t>
      </w:r>
      <w:proofErr w:type="spellStart"/>
      <w:r w:rsidRPr="00380110">
        <w:rPr>
          <w:rFonts w:ascii="Lato" w:eastAsia="Times New Roman" w:hAnsi="Lato" w:cs="Times New Roman"/>
          <w:color w:val="0C0C0F"/>
          <w:kern w:val="0"/>
          <w:lang w:eastAsia="it-IT"/>
          <w14:ligatures w14:val="none"/>
        </w:rPr>
        <w:t>Rechtspraak</w:t>
      </w:r>
      <w:proofErr w:type="spellEnd"/>
      <w:r w:rsidRPr="00380110">
        <w:rPr>
          <w:rFonts w:ascii="Lato" w:eastAsia="Times New Roman" w:hAnsi="Lato" w:cs="Times New Roman"/>
          <w:color w:val="0C0C0F"/>
          <w:kern w:val="0"/>
          <w:lang w:eastAsia="it-IT"/>
          <w14:ligatures w14:val="none"/>
        </w:rPr>
        <w:t>, Consiglio della magistratura/giurisdizione olandese, ha approvato “ </w:t>
      </w:r>
      <w:r w:rsidRPr="00380110">
        <w:rPr>
          <w:rFonts w:ascii="Lato" w:eastAsia="Times New Roman" w:hAnsi="Lato" w:cs="Times New Roman"/>
          <w:i/>
          <w:iCs/>
          <w:color w:val="0C0C0F"/>
          <w:kern w:val="0"/>
          <w:lang w:eastAsia="it-IT"/>
          <w14:ligatures w14:val="none"/>
        </w:rPr>
        <w:t xml:space="preserve">Responsible and innovative: AI for a fair Dutch </w:t>
      </w:r>
      <w:proofErr w:type="spellStart"/>
      <w:r w:rsidRPr="00380110">
        <w:rPr>
          <w:rFonts w:ascii="Lato" w:eastAsia="Times New Roman" w:hAnsi="Lato" w:cs="Times New Roman"/>
          <w:i/>
          <w:iCs/>
          <w:color w:val="0C0C0F"/>
          <w:kern w:val="0"/>
          <w:lang w:eastAsia="it-IT"/>
          <w14:ligatures w14:val="none"/>
        </w:rPr>
        <w:t>judicial</w:t>
      </w:r>
      <w:proofErr w:type="spellEnd"/>
      <w:r w:rsidRPr="00380110">
        <w:rPr>
          <w:rFonts w:ascii="Lato" w:eastAsia="Times New Roman" w:hAnsi="Lato" w:cs="Times New Roman"/>
          <w:i/>
          <w:iCs/>
          <w:color w:val="0C0C0F"/>
          <w:kern w:val="0"/>
          <w:lang w:eastAsia="it-IT"/>
          <w14:ligatures w14:val="none"/>
        </w:rPr>
        <w:t xml:space="preserve"> system</w:t>
      </w:r>
      <w:r w:rsidRPr="00380110">
        <w:rPr>
          <w:rFonts w:ascii="Lato" w:eastAsia="Times New Roman" w:hAnsi="Lato" w:cs="Times New Roman"/>
          <w:color w:val="0C0C0F"/>
          <w:kern w:val="0"/>
          <w:lang w:eastAsia="it-IT"/>
          <w14:ligatures w14:val="none"/>
        </w:rPr>
        <w:t xml:space="preserve">’, definendo ambiti d’uso, divieto nell’“alto rischio” fino a </w:t>
      </w:r>
      <w:proofErr w:type="spellStart"/>
      <w:r w:rsidRPr="00380110">
        <w:rPr>
          <w:rFonts w:ascii="Lato" w:eastAsia="Times New Roman" w:hAnsi="Lato" w:cs="Times New Roman"/>
          <w:color w:val="0C0C0F"/>
          <w:kern w:val="0"/>
          <w:lang w:eastAsia="it-IT"/>
          <w14:ligatures w14:val="none"/>
        </w:rPr>
        <w:t>chè</w:t>
      </w:r>
      <w:proofErr w:type="spellEnd"/>
      <w:r w:rsidRPr="00380110">
        <w:rPr>
          <w:rFonts w:ascii="Lato" w:eastAsia="Times New Roman" w:hAnsi="Lato" w:cs="Times New Roman"/>
          <w:color w:val="0C0C0F"/>
          <w:kern w:val="0"/>
          <w:lang w:eastAsia="it-IT"/>
          <w14:ligatures w14:val="none"/>
        </w:rPr>
        <w:t xml:space="preserve"> i tempi non </w:t>
      </w:r>
      <w:proofErr w:type="spellStart"/>
      <w:r w:rsidRPr="00380110">
        <w:rPr>
          <w:rFonts w:ascii="Lato" w:eastAsia="Times New Roman" w:hAnsi="Lato" w:cs="Times New Roman"/>
          <w:color w:val="0C0C0F"/>
          <w:kern w:val="0"/>
          <w:lang w:eastAsia="it-IT"/>
          <w14:ligatures w14:val="none"/>
        </w:rPr>
        <w:t>sranno</w:t>
      </w:r>
      <w:proofErr w:type="spellEnd"/>
      <w:r w:rsidRPr="00380110">
        <w:rPr>
          <w:rFonts w:ascii="Lato" w:eastAsia="Times New Roman" w:hAnsi="Lato" w:cs="Times New Roman"/>
          <w:color w:val="0C0C0F"/>
          <w:kern w:val="0"/>
          <w:lang w:eastAsia="it-IT"/>
          <w14:ligatures w14:val="none"/>
        </w:rPr>
        <w:t xml:space="preserve"> maturi, supervisione umana, registro pubblico degli algoritmi, e un piano in 10 punti (</w:t>
      </w:r>
      <w:proofErr w:type="spellStart"/>
      <w:r w:rsidRPr="00380110">
        <w:rPr>
          <w:rFonts w:ascii="Lato" w:eastAsia="Times New Roman" w:hAnsi="Lato" w:cs="Times New Roman"/>
          <w:color w:val="0C0C0F"/>
          <w:kern w:val="0"/>
          <w:lang w:eastAsia="it-IT"/>
          <w14:ligatures w14:val="none"/>
        </w:rPr>
        <w:t>rechtspraak.nt</w:t>
      </w:r>
      <w:proofErr w:type="spellEnd"/>
      <w:r w:rsidRPr="00380110">
        <w:rPr>
          <w:rFonts w:ascii="Lato" w:eastAsia="Times New Roman" w:hAnsi="Lato" w:cs="Times New Roman"/>
          <w:color w:val="0C0C0F"/>
          <w:kern w:val="0"/>
          <w:lang w:eastAsia="it-IT"/>
          <w14:ligatures w14:val="none"/>
        </w:rPr>
        <w:t>).</w:t>
      </w:r>
    </w:p>
    <w:p w14:paraId="20F1DAAF" w14:textId="77777777" w:rsidR="00380110" w:rsidRPr="00380110" w:rsidRDefault="00380110" w:rsidP="00380110">
      <w:pPr>
        <w:spacing w:line="360" w:lineRule="auto"/>
        <w:jc w:val="both"/>
        <w:rPr>
          <w:rFonts w:ascii="Lato" w:eastAsia="Times New Roman" w:hAnsi="Lato" w:cs="Times New Roman"/>
          <w:color w:val="0C0C0F"/>
          <w:kern w:val="0"/>
          <w:lang w:eastAsia="it-IT"/>
          <w14:ligatures w14:val="none"/>
        </w:rPr>
      </w:pPr>
      <w:r w:rsidRPr="00380110">
        <w:rPr>
          <w:rFonts w:ascii="Lato" w:eastAsia="Times New Roman" w:hAnsi="Lato" w:cs="Times New Roman"/>
          <w:color w:val="0C0C0F"/>
          <w:kern w:val="0"/>
          <w:lang w:eastAsia="it-IT"/>
          <w14:ligatures w14:val="none"/>
        </w:rPr>
        <w:t>In Spagna il </w:t>
      </w:r>
      <w:proofErr w:type="spellStart"/>
      <w:r w:rsidRPr="00380110">
        <w:rPr>
          <w:rFonts w:ascii="Lato" w:eastAsia="Times New Roman" w:hAnsi="Lato" w:cs="Times New Roman"/>
          <w:i/>
          <w:iCs/>
          <w:color w:val="0C0C0F"/>
          <w:kern w:val="0"/>
          <w:lang w:eastAsia="it-IT"/>
          <w14:ligatures w14:val="none"/>
        </w:rPr>
        <w:t>Comité</w:t>
      </w:r>
      <w:proofErr w:type="spellEnd"/>
      <w:r w:rsidRPr="00380110">
        <w:rPr>
          <w:rFonts w:ascii="Lato" w:eastAsia="Times New Roman" w:hAnsi="Lato" w:cs="Times New Roman"/>
          <w:i/>
          <w:iCs/>
          <w:color w:val="0C0C0F"/>
          <w:kern w:val="0"/>
          <w:lang w:eastAsia="it-IT"/>
          <w14:ligatures w14:val="none"/>
        </w:rPr>
        <w:t xml:space="preserve"> </w:t>
      </w:r>
      <w:proofErr w:type="spellStart"/>
      <w:r w:rsidRPr="00380110">
        <w:rPr>
          <w:rFonts w:ascii="Lato" w:eastAsia="Times New Roman" w:hAnsi="Lato" w:cs="Times New Roman"/>
          <w:i/>
          <w:iCs/>
          <w:color w:val="0C0C0F"/>
          <w:kern w:val="0"/>
          <w:lang w:eastAsia="it-IT"/>
          <w14:ligatures w14:val="none"/>
        </w:rPr>
        <w:t>Técnico</w:t>
      </w:r>
      <w:proofErr w:type="spellEnd"/>
      <w:r w:rsidRPr="00380110">
        <w:rPr>
          <w:rFonts w:ascii="Lato" w:eastAsia="Times New Roman" w:hAnsi="Lato" w:cs="Times New Roman"/>
          <w:i/>
          <w:iCs/>
          <w:color w:val="0C0C0F"/>
          <w:kern w:val="0"/>
          <w:lang w:eastAsia="it-IT"/>
          <w14:ligatures w14:val="none"/>
        </w:rPr>
        <w:t xml:space="preserve"> </w:t>
      </w:r>
      <w:proofErr w:type="spellStart"/>
      <w:r w:rsidRPr="00380110">
        <w:rPr>
          <w:rFonts w:ascii="Lato" w:eastAsia="Times New Roman" w:hAnsi="Lato" w:cs="Times New Roman"/>
          <w:i/>
          <w:iCs/>
          <w:color w:val="0C0C0F"/>
          <w:kern w:val="0"/>
          <w:lang w:eastAsia="it-IT"/>
          <w14:ligatures w14:val="none"/>
        </w:rPr>
        <w:t>Estatal</w:t>
      </w:r>
      <w:proofErr w:type="spellEnd"/>
      <w:r w:rsidRPr="00380110">
        <w:rPr>
          <w:rFonts w:ascii="Lato" w:eastAsia="Times New Roman" w:hAnsi="Lato" w:cs="Times New Roman"/>
          <w:i/>
          <w:iCs/>
          <w:color w:val="0C0C0F"/>
          <w:kern w:val="0"/>
          <w:lang w:eastAsia="it-IT"/>
          <w14:ligatures w14:val="none"/>
        </w:rPr>
        <w:t xml:space="preserve"> de la </w:t>
      </w:r>
      <w:proofErr w:type="spellStart"/>
      <w:r w:rsidRPr="00380110">
        <w:rPr>
          <w:rFonts w:ascii="Lato" w:eastAsia="Times New Roman" w:hAnsi="Lato" w:cs="Times New Roman"/>
          <w:i/>
          <w:iCs/>
          <w:color w:val="0C0C0F"/>
          <w:kern w:val="0"/>
          <w:lang w:eastAsia="it-IT"/>
          <w14:ligatures w14:val="none"/>
        </w:rPr>
        <w:t>Administración</w:t>
      </w:r>
      <w:proofErr w:type="spellEnd"/>
      <w:r w:rsidRPr="00380110">
        <w:rPr>
          <w:rFonts w:ascii="Lato" w:eastAsia="Times New Roman" w:hAnsi="Lato" w:cs="Times New Roman"/>
          <w:i/>
          <w:iCs/>
          <w:color w:val="0C0C0F"/>
          <w:kern w:val="0"/>
          <w:lang w:eastAsia="it-IT"/>
          <w14:ligatures w14:val="none"/>
        </w:rPr>
        <w:t xml:space="preserve"> </w:t>
      </w:r>
      <w:proofErr w:type="spellStart"/>
      <w:r w:rsidRPr="00380110">
        <w:rPr>
          <w:rFonts w:ascii="Lato" w:eastAsia="Times New Roman" w:hAnsi="Lato" w:cs="Times New Roman"/>
          <w:i/>
          <w:iCs/>
          <w:color w:val="0C0C0F"/>
          <w:kern w:val="0"/>
          <w:lang w:eastAsia="it-IT"/>
          <w14:ligatures w14:val="none"/>
        </w:rPr>
        <w:t>Judicial</w:t>
      </w:r>
      <w:proofErr w:type="spellEnd"/>
      <w:r w:rsidRPr="00380110">
        <w:rPr>
          <w:rFonts w:ascii="Lato" w:eastAsia="Times New Roman" w:hAnsi="Lato" w:cs="Times New Roman"/>
          <w:i/>
          <w:iCs/>
          <w:color w:val="0C0C0F"/>
          <w:kern w:val="0"/>
          <w:lang w:eastAsia="it-IT"/>
          <w14:ligatures w14:val="none"/>
        </w:rPr>
        <w:t xml:space="preserve"> </w:t>
      </w:r>
      <w:proofErr w:type="spellStart"/>
      <w:r w:rsidRPr="00380110">
        <w:rPr>
          <w:rFonts w:ascii="Lato" w:eastAsia="Times New Roman" w:hAnsi="Lato" w:cs="Times New Roman"/>
          <w:i/>
          <w:iCs/>
          <w:color w:val="0C0C0F"/>
          <w:kern w:val="0"/>
          <w:lang w:eastAsia="it-IT"/>
          <w14:ligatures w14:val="none"/>
        </w:rPr>
        <w:t>Electrónica</w:t>
      </w:r>
      <w:proofErr w:type="spellEnd"/>
      <w:r w:rsidRPr="00380110">
        <w:rPr>
          <w:rFonts w:ascii="Lato" w:eastAsia="Times New Roman" w:hAnsi="Lato" w:cs="Times New Roman"/>
          <w:color w:val="0C0C0F"/>
          <w:kern w:val="0"/>
          <w:lang w:eastAsia="it-IT"/>
          <w14:ligatures w14:val="none"/>
        </w:rPr>
        <w:t>) ha adottato sin dal 2024 “</w:t>
      </w:r>
      <w:proofErr w:type="spellStart"/>
      <w:r w:rsidRPr="00380110">
        <w:rPr>
          <w:rFonts w:ascii="Lato" w:eastAsia="Times New Roman" w:hAnsi="Lato" w:cs="Times New Roman"/>
          <w:color w:val="0C0C0F"/>
          <w:kern w:val="0"/>
          <w:lang w:eastAsia="it-IT"/>
          <w14:ligatures w14:val="none"/>
        </w:rPr>
        <w:t>Política</w:t>
      </w:r>
      <w:proofErr w:type="spellEnd"/>
      <w:r w:rsidRPr="00380110">
        <w:rPr>
          <w:rFonts w:ascii="Lato" w:eastAsia="Times New Roman" w:hAnsi="Lato" w:cs="Times New Roman"/>
          <w:color w:val="0C0C0F"/>
          <w:kern w:val="0"/>
          <w:lang w:eastAsia="it-IT"/>
          <w14:ligatures w14:val="none"/>
        </w:rPr>
        <w:t xml:space="preserve"> de uso de la IA en la </w:t>
      </w:r>
      <w:proofErr w:type="spellStart"/>
      <w:r w:rsidRPr="00380110">
        <w:rPr>
          <w:rFonts w:ascii="Lato" w:eastAsia="Times New Roman" w:hAnsi="Lato" w:cs="Times New Roman"/>
          <w:color w:val="0C0C0F"/>
          <w:kern w:val="0"/>
          <w:lang w:eastAsia="it-IT"/>
          <w14:ligatures w14:val="none"/>
        </w:rPr>
        <w:t>Administración</w:t>
      </w:r>
      <w:proofErr w:type="spellEnd"/>
      <w:r w:rsidRPr="00380110">
        <w:rPr>
          <w:rFonts w:ascii="Lato" w:eastAsia="Times New Roman" w:hAnsi="Lato" w:cs="Times New Roman"/>
          <w:color w:val="0C0C0F"/>
          <w:kern w:val="0"/>
          <w:lang w:eastAsia="it-IT"/>
          <w14:ligatures w14:val="none"/>
        </w:rPr>
        <w:t xml:space="preserve"> de </w:t>
      </w:r>
      <w:proofErr w:type="spellStart"/>
      <w:r w:rsidRPr="00380110">
        <w:rPr>
          <w:rFonts w:ascii="Lato" w:eastAsia="Times New Roman" w:hAnsi="Lato" w:cs="Times New Roman"/>
          <w:color w:val="0C0C0F"/>
          <w:kern w:val="0"/>
          <w:lang w:eastAsia="it-IT"/>
          <w14:ligatures w14:val="none"/>
        </w:rPr>
        <w:t>Justicia</w:t>
      </w:r>
      <w:proofErr w:type="spellEnd"/>
      <w:r w:rsidRPr="00380110">
        <w:rPr>
          <w:rFonts w:ascii="Lato" w:eastAsia="Times New Roman" w:hAnsi="Lato" w:cs="Times New Roman"/>
          <w:color w:val="0C0C0F"/>
          <w:kern w:val="0"/>
          <w:lang w:eastAsia="it-IT"/>
          <w14:ligatures w14:val="none"/>
        </w:rPr>
        <w:t>”, un piano comune per l’amministrazione della giustizia (Ministero + CGPJ) con principi operativi di attuazione.</w:t>
      </w:r>
    </w:p>
    <w:p w14:paraId="795F2B43" w14:textId="77777777" w:rsidR="00380110" w:rsidRPr="00380110" w:rsidRDefault="00380110" w:rsidP="00380110">
      <w:pPr>
        <w:spacing w:line="360" w:lineRule="auto"/>
        <w:jc w:val="both"/>
        <w:rPr>
          <w:rFonts w:ascii="Lato" w:eastAsia="Times New Roman" w:hAnsi="Lato" w:cs="Times New Roman"/>
          <w:color w:val="0C0C0F"/>
          <w:kern w:val="0"/>
          <w:lang w:eastAsia="it-IT"/>
          <w14:ligatures w14:val="none"/>
        </w:rPr>
      </w:pPr>
      <w:r w:rsidRPr="00380110">
        <w:rPr>
          <w:rFonts w:ascii="Lato" w:eastAsia="Times New Roman" w:hAnsi="Lato" w:cs="Times New Roman"/>
          <w:color w:val="0C0C0F"/>
          <w:kern w:val="0"/>
          <w:lang w:eastAsia="it-IT"/>
          <w14:ligatures w14:val="none"/>
        </w:rPr>
        <w:t xml:space="preserve">In Germania si sta svolgendo un lavoro congiunto dei presidenti degli Alti Tribunali (OLG) e BGH – </w:t>
      </w:r>
      <w:proofErr w:type="spellStart"/>
      <w:r w:rsidRPr="00380110">
        <w:rPr>
          <w:rFonts w:ascii="Lato" w:eastAsia="Times New Roman" w:hAnsi="Lato" w:cs="Times New Roman"/>
          <w:color w:val="0C0C0F"/>
          <w:kern w:val="0"/>
          <w:lang w:eastAsia="it-IT"/>
          <w14:ligatures w14:val="none"/>
        </w:rPr>
        <w:t>Grundlagenpapier</w:t>
      </w:r>
      <w:proofErr w:type="spellEnd"/>
      <w:r w:rsidRPr="00380110">
        <w:rPr>
          <w:rFonts w:ascii="Lato" w:eastAsia="Times New Roman" w:hAnsi="Lato" w:cs="Times New Roman"/>
          <w:color w:val="0C0C0F"/>
          <w:kern w:val="0"/>
          <w:lang w:eastAsia="it-IT"/>
          <w14:ligatures w14:val="none"/>
        </w:rPr>
        <w:t xml:space="preserve"> “</w:t>
      </w:r>
      <w:proofErr w:type="spellStart"/>
      <w:r w:rsidRPr="00380110">
        <w:rPr>
          <w:rFonts w:ascii="Lato" w:eastAsia="Times New Roman" w:hAnsi="Lato" w:cs="Times New Roman"/>
          <w:i/>
          <w:iCs/>
          <w:color w:val="0C0C0F"/>
          <w:kern w:val="0"/>
          <w:lang w:eastAsia="it-IT"/>
          <w14:ligatures w14:val="none"/>
        </w:rPr>
        <w:t>Einsatz</w:t>
      </w:r>
      <w:proofErr w:type="spellEnd"/>
      <w:r w:rsidRPr="00380110">
        <w:rPr>
          <w:rFonts w:ascii="Lato" w:eastAsia="Times New Roman" w:hAnsi="Lato" w:cs="Times New Roman"/>
          <w:i/>
          <w:iCs/>
          <w:color w:val="0C0C0F"/>
          <w:kern w:val="0"/>
          <w:lang w:eastAsia="it-IT"/>
          <w14:ligatures w14:val="none"/>
        </w:rPr>
        <w:t xml:space="preserve"> von KI und </w:t>
      </w:r>
      <w:proofErr w:type="spellStart"/>
      <w:r w:rsidRPr="00380110">
        <w:rPr>
          <w:rFonts w:ascii="Lato" w:eastAsia="Times New Roman" w:hAnsi="Lato" w:cs="Times New Roman"/>
          <w:i/>
          <w:iCs/>
          <w:color w:val="0C0C0F"/>
          <w:kern w:val="0"/>
          <w:lang w:eastAsia="it-IT"/>
          <w14:ligatures w14:val="none"/>
        </w:rPr>
        <w:t>algorithmischen</w:t>
      </w:r>
      <w:proofErr w:type="spellEnd"/>
      <w:r w:rsidRPr="00380110">
        <w:rPr>
          <w:rFonts w:ascii="Lato" w:eastAsia="Times New Roman" w:hAnsi="Lato" w:cs="Times New Roman"/>
          <w:i/>
          <w:iCs/>
          <w:color w:val="0C0C0F"/>
          <w:kern w:val="0"/>
          <w:lang w:eastAsia="it-IT"/>
          <w14:ligatures w14:val="none"/>
        </w:rPr>
        <w:t xml:space="preserve"> </w:t>
      </w:r>
      <w:proofErr w:type="spellStart"/>
      <w:r w:rsidRPr="00380110">
        <w:rPr>
          <w:rFonts w:ascii="Lato" w:eastAsia="Times New Roman" w:hAnsi="Lato" w:cs="Times New Roman"/>
          <w:i/>
          <w:iCs/>
          <w:color w:val="0C0C0F"/>
          <w:kern w:val="0"/>
          <w:lang w:eastAsia="it-IT"/>
          <w14:ligatures w14:val="none"/>
        </w:rPr>
        <w:t>Systemen</w:t>
      </w:r>
      <w:proofErr w:type="spellEnd"/>
      <w:r w:rsidRPr="00380110">
        <w:rPr>
          <w:rFonts w:ascii="Lato" w:eastAsia="Times New Roman" w:hAnsi="Lato" w:cs="Times New Roman"/>
          <w:i/>
          <w:iCs/>
          <w:color w:val="0C0C0F"/>
          <w:kern w:val="0"/>
          <w:lang w:eastAsia="it-IT"/>
          <w14:ligatures w14:val="none"/>
        </w:rPr>
        <w:t xml:space="preserve"> in </w:t>
      </w:r>
      <w:proofErr w:type="spellStart"/>
      <w:r w:rsidRPr="00380110">
        <w:rPr>
          <w:rFonts w:ascii="Lato" w:eastAsia="Times New Roman" w:hAnsi="Lato" w:cs="Times New Roman"/>
          <w:i/>
          <w:iCs/>
          <w:color w:val="0C0C0F"/>
          <w:kern w:val="0"/>
          <w:lang w:eastAsia="it-IT"/>
          <w14:ligatures w14:val="none"/>
        </w:rPr>
        <w:t>der</w:t>
      </w:r>
      <w:proofErr w:type="spellEnd"/>
      <w:r w:rsidRPr="00380110">
        <w:rPr>
          <w:rFonts w:ascii="Lato" w:eastAsia="Times New Roman" w:hAnsi="Lato" w:cs="Times New Roman"/>
          <w:i/>
          <w:iCs/>
          <w:color w:val="0C0C0F"/>
          <w:kern w:val="0"/>
          <w:lang w:eastAsia="it-IT"/>
          <w14:ligatures w14:val="none"/>
        </w:rPr>
        <w:t xml:space="preserve"> </w:t>
      </w:r>
      <w:proofErr w:type="spellStart"/>
      <w:r w:rsidRPr="00380110">
        <w:rPr>
          <w:rFonts w:ascii="Lato" w:eastAsia="Times New Roman" w:hAnsi="Lato" w:cs="Times New Roman"/>
          <w:i/>
          <w:iCs/>
          <w:color w:val="0C0C0F"/>
          <w:kern w:val="0"/>
          <w:lang w:eastAsia="it-IT"/>
          <w14:ligatures w14:val="none"/>
        </w:rPr>
        <w:t>Justiz</w:t>
      </w:r>
      <w:proofErr w:type="spellEnd"/>
      <w:r w:rsidRPr="00380110">
        <w:rPr>
          <w:rFonts w:ascii="Lato" w:eastAsia="Times New Roman" w:hAnsi="Lato" w:cs="Times New Roman"/>
          <w:color w:val="0C0C0F"/>
          <w:kern w:val="0"/>
          <w:lang w:eastAsia="it-IT"/>
          <w14:ligatures w14:val="none"/>
        </w:rPr>
        <w:t>” e, soprattutto, il Consiglio E-Justice della Germania (“E-Justice-Rat / Bund/Länder”), un organismo di coordinamento che riunisce i capi delle amministrazioni giudiziarie federali e statali, ha predisposto una Strategia comune Bund-Länder per l’uso dell’IA nella giustizia (2025).</w:t>
      </w:r>
    </w:p>
    <w:p w14:paraId="530B9250" w14:textId="77777777" w:rsidR="00380110" w:rsidRPr="00380110" w:rsidRDefault="00380110" w:rsidP="00380110">
      <w:pPr>
        <w:spacing w:line="360" w:lineRule="auto"/>
        <w:jc w:val="both"/>
        <w:rPr>
          <w:rFonts w:ascii="Lato" w:eastAsia="Times New Roman" w:hAnsi="Lato" w:cs="Times New Roman"/>
          <w:color w:val="0C0C0F"/>
          <w:kern w:val="0"/>
          <w:lang w:eastAsia="it-IT"/>
          <w14:ligatures w14:val="none"/>
        </w:rPr>
      </w:pPr>
      <w:r w:rsidRPr="00380110">
        <w:rPr>
          <w:rFonts w:ascii="Lato" w:eastAsia="Times New Roman" w:hAnsi="Lato" w:cs="Times New Roman"/>
          <w:color w:val="0C0C0F"/>
          <w:kern w:val="0"/>
          <w:lang w:eastAsia="it-IT"/>
          <w14:ligatures w14:val="none"/>
        </w:rPr>
        <w:t xml:space="preserve">Nel Regno Unito è stata predisposta una </w:t>
      </w:r>
      <w:proofErr w:type="spellStart"/>
      <w:r w:rsidRPr="00380110">
        <w:rPr>
          <w:rFonts w:ascii="Lato" w:eastAsia="Times New Roman" w:hAnsi="Lato" w:cs="Times New Roman"/>
          <w:color w:val="0C0C0F"/>
          <w:kern w:val="0"/>
          <w:lang w:eastAsia="it-IT"/>
          <w14:ligatures w14:val="none"/>
        </w:rPr>
        <w:t>Judicial</w:t>
      </w:r>
      <w:proofErr w:type="spellEnd"/>
      <w:r w:rsidRPr="00380110">
        <w:rPr>
          <w:rFonts w:ascii="Lato" w:eastAsia="Times New Roman" w:hAnsi="Lato" w:cs="Times New Roman"/>
          <w:color w:val="0C0C0F"/>
          <w:kern w:val="0"/>
          <w:lang w:eastAsia="it-IT"/>
          <w14:ligatures w14:val="none"/>
        </w:rPr>
        <w:t xml:space="preserve"> </w:t>
      </w:r>
      <w:proofErr w:type="spellStart"/>
      <w:r w:rsidRPr="00380110">
        <w:rPr>
          <w:rFonts w:ascii="Lato" w:eastAsia="Times New Roman" w:hAnsi="Lato" w:cs="Times New Roman"/>
          <w:color w:val="0C0C0F"/>
          <w:kern w:val="0"/>
          <w:lang w:eastAsia="it-IT"/>
          <w14:ligatures w14:val="none"/>
        </w:rPr>
        <w:t>Guidance</w:t>
      </w:r>
      <w:proofErr w:type="spellEnd"/>
      <w:r w:rsidRPr="00380110">
        <w:rPr>
          <w:rFonts w:ascii="Lato" w:eastAsia="Times New Roman" w:hAnsi="Lato" w:cs="Times New Roman"/>
          <w:color w:val="0C0C0F"/>
          <w:kern w:val="0"/>
          <w:lang w:eastAsia="it-IT"/>
          <w14:ligatures w14:val="none"/>
        </w:rPr>
        <w:t xml:space="preserve"> per i giudici e altri “</w:t>
      </w:r>
      <w:proofErr w:type="spellStart"/>
      <w:r w:rsidRPr="00380110">
        <w:rPr>
          <w:rFonts w:ascii="Lato" w:eastAsia="Times New Roman" w:hAnsi="Lato" w:cs="Times New Roman"/>
          <w:color w:val="0C0C0F"/>
          <w:kern w:val="0"/>
          <w:lang w:eastAsia="it-IT"/>
          <w14:ligatures w14:val="none"/>
        </w:rPr>
        <w:t>judicial</w:t>
      </w:r>
      <w:proofErr w:type="spellEnd"/>
      <w:r w:rsidRPr="00380110">
        <w:rPr>
          <w:rFonts w:ascii="Lato" w:eastAsia="Times New Roman" w:hAnsi="Lato" w:cs="Times New Roman"/>
          <w:color w:val="0C0C0F"/>
          <w:kern w:val="0"/>
          <w:lang w:eastAsia="it-IT"/>
          <w14:ligatures w14:val="none"/>
        </w:rPr>
        <w:t xml:space="preserve"> office holders” sull’uso dell’IA, che sostituisce quella del dicembre 2023. Queste linee guida coprono rischi (</w:t>
      </w:r>
      <w:proofErr w:type="spellStart"/>
      <w:r w:rsidRPr="00380110">
        <w:rPr>
          <w:rFonts w:ascii="Lato" w:eastAsia="Times New Roman" w:hAnsi="Lato" w:cs="Times New Roman"/>
          <w:color w:val="0C0C0F"/>
          <w:kern w:val="0"/>
          <w:lang w:eastAsia="it-IT"/>
          <w14:ligatures w14:val="none"/>
        </w:rPr>
        <w:t>bias</w:t>
      </w:r>
      <w:proofErr w:type="spellEnd"/>
      <w:r w:rsidRPr="00380110">
        <w:rPr>
          <w:rFonts w:ascii="Lato" w:eastAsia="Times New Roman" w:hAnsi="Lato" w:cs="Times New Roman"/>
          <w:color w:val="0C0C0F"/>
          <w:kern w:val="0"/>
          <w:lang w:eastAsia="it-IT"/>
          <w14:ligatures w14:val="none"/>
        </w:rPr>
        <w:t>, qualità dei dataset, disinformazione), uso degli strumenti, responsabilità.</w:t>
      </w:r>
    </w:p>
    <w:p w14:paraId="7DF8F355" w14:textId="77777777" w:rsidR="00380110" w:rsidRPr="00380110" w:rsidRDefault="00380110" w:rsidP="00380110">
      <w:pPr>
        <w:spacing w:line="360" w:lineRule="auto"/>
        <w:jc w:val="both"/>
        <w:rPr>
          <w:rFonts w:ascii="Lato" w:eastAsia="Times New Roman" w:hAnsi="Lato" w:cs="Times New Roman"/>
          <w:color w:val="0C0C0F"/>
          <w:kern w:val="0"/>
          <w:lang w:eastAsia="it-IT"/>
          <w14:ligatures w14:val="none"/>
        </w:rPr>
      </w:pPr>
      <w:r w:rsidRPr="00380110">
        <w:rPr>
          <w:rFonts w:ascii="Lato" w:eastAsia="Times New Roman" w:hAnsi="Lato" w:cs="Times New Roman"/>
          <w:color w:val="0C0C0F"/>
          <w:kern w:val="0"/>
          <w:lang w:eastAsia="it-IT"/>
          <w14:ligatures w14:val="none"/>
        </w:rPr>
        <w:t>Si sono mosse anche le Corti europee. Sappiamo infatti che già la Corte di giustizia dell’Unione europea aveva approvato nel 2023 l’</w:t>
      </w:r>
      <w:proofErr w:type="spellStart"/>
      <w:r w:rsidRPr="00380110">
        <w:rPr>
          <w:rFonts w:ascii="Lato" w:eastAsia="Times New Roman" w:hAnsi="Lato" w:cs="Times New Roman"/>
          <w:color w:val="0C0C0F"/>
          <w:kern w:val="0"/>
          <w:lang w:eastAsia="it-IT"/>
          <w14:ligatures w14:val="none"/>
        </w:rPr>
        <w:t>Artificial</w:t>
      </w:r>
      <w:proofErr w:type="spellEnd"/>
      <w:r w:rsidRPr="00380110">
        <w:rPr>
          <w:rFonts w:ascii="Lato" w:eastAsia="Times New Roman" w:hAnsi="Lato" w:cs="Times New Roman"/>
          <w:color w:val="0C0C0F"/>
          <w:kern w:val="0"/>
          <w:lang w:eastAsia="it-IT"/>
          <w14:ligatures w14:val="none"/>
        </w:rPr>
        <w:t xml:space="preserve"> Intelligence Strategy, una strategia interna che prevede algoritmi prevalentemente sviluppati e usati “in-house”, requisiti per attività pubbliche, sviluppo competenze interne. Ne abbiamo parlato in </w:t>
      </w:r>
      <w:hyperlink r:id="rId8" w:history="1">
        <w:r w:rsidRPr="00380110">
          <w:rPr>
            <w:rFonts w:ascii="Lato" w:eastAsia="Times New Roman" w:hAnsi="Lato" w:cs="Times New Roman"/>
            <w:b/>
            <w:bCs/>
            <w:i/>
            <w:iCs/>
            <w:color w:val="1E5192"/>
            <w:kern w:val="0"/>
            <w:u w:val="single"/>
            <w:lang w:eastAsia="it-IT"/>
            <w14:ligatures w14:val="none"/>
          </w:rPr>
          <w:t>Corte Ue: niente cloud per i sistemi ''giudiziari'' di intelligenza artificiale</w:t>
        </w:r>
      </w:hyperlink>
      <w:r w:rsidRPr="00380110">
        <w:rPr>
          <w:rFonts w:ascii="Lato" w:eastAsia="Times New Roman" w:hAnsi="Lato" w:cs="Times New Roman"/>
          <w:color w:val="0C0C0F"/>
          <w:kern w:val="0"/>
          <w:lang w:eastAsia="it-IT"/>
          <w14:ligatures w14:val="none"/>
        </w:rPr>
        <w:t>.</w:t>
      </w:r>
    </w:p>
    <w:p w14:paraId="529BEFC6" w14:textId="77777777" w:rsidR="00380110" w:rsidRPr="00380110" w:rsidRDefault="00380110" w:rsidP="00380110">
      <w:pPr>
        <w:spacing w:line="360" w:lineRule="auto"/>
        <w:jc w:val="both"/>
        <w:rPr>
          <w:rFonts w:ascii="Lato" w:eastAsia="Times New Roman" w:hAnsi="Lato" w:cs="Times New Roman"/>
          <w:color w:val="0C0C0F"/>
          <w:kern w:val="0"/>
          <w:lang w:eastAsia="it-IT"/>
          <w14:ligatures w14:val="none"/>
        </w:rPr>
      </w:pPr>
      <w:r w:rsidRPr="00380110">
        <w:rPr>
          <w:rFonts w:ascii="Lato" w:eastAsia="Times New Roman" w:hAnsi="Lato" w:cs="Times New Roman"/>
          <w:color w:val="0C0C0F"/>
          <w:kern w:val="0"/>
          <w:lang w:eastAsia="it-IT"/>
          <w14:ligatures w14:val="none"/>
        </w:rPr>
        <w:t xml:space="preserve">Mentre il </w:t>
      </w:r>
      <w:proofErr w:type="spellStart"/>
      <w:r w:rsidRPr="00380110">
        <w:rPr>
          <w:rFonts w:ascii="Lato" w:eastAsia="Times New Roman" w:hAnsi="Lato" w:cs="Times New Roman"/>
          <w:color w:val="0C0C0F"/>
          <w:kern w:val="0"/>
          <w:lang w:eastAsia="it-IT"/>
          <w14:ligatures w14:val="none"/>
        </w:rPr>
        <w:t>Cepej</w:t>
      </w:r>
      <w:proofErr w:type="spellEnd"/>
      <w:r w:rsidRPr="00380110">
        <w:rPr>
          <w:rFonts w:ascii="Lato" w:eastAsia="Times New Roman" w:hAnsi="Lato" w:cs="Times New Roman"/>
          <w:color w:val="0C0C0F"/>
          <w:kern w:val="0"/>
          <w:lang w:eastAsia="it-IT"/>
          <w14:ligatures w14:val="none"/>
        </w:rPr>
        <w:t xml:space="preserve"> del Consiglio d’Europa ha redatto sin dal 2018 </w:t>
      </w:r>
      <w:proofErr w:type="gramStart"/>
      <w:r w:rsidRPr="00380110">
        <w:rPr>
          <w:rFonts w:ascii="Lato" w:eastAsia="Times New Roman" w:hAnsi="Lato" w:cs="Times New Roman"/>
          <w:color w:val="0C0C0F"/>
          <w:kern w:val="0"/>
          <w:lang w:eastAsia="it-IT"/>
          <w14:ligatures w14:val="none"/>
        </w:rPr>
        <w:t>l’ “</w:t>
      </w:r>
      <w:proofErr w:type="spellStart"/>
      <w:proofErr w:type="gramEnd"/>
      <w:r w:rsidRPr="00380110">
        <w:rPr>
          <w:rFonts w:ascii="Lato" w:eastAsia="Times New Roman" w:hAnsi="Lato" w:cs="Times New Roman"/>
          <w:i/>
          <w:iCs/>
          <w:color w:val="0C0C0F"/>
          <w:kern w:val="0"/>
          <w:lang w:eastAsia="it-IT"/>
          <w14:ligatures w14:val="none"/>
        </w:rPr>
        <w:t>European</w:t>
      </w:r>
      <w:proofErr w:type="spellEnd"/>
      <w:r w:rsidRPr="00380110">
        <w:rPr>
          <w:rFonts w:ascii="Lato" w:eastAsia="Times New Roman" w:hAnsi="Lato" w:cs="Times New Roman"/>
          <w:i/>
          <w:iCs/>
          <w:color w:val="0C0C0F"/>
          <w:kern w:val="0"/>
          <w:lang w:eastAsia="it-IT"/>
          <w14:ligatures w14:val="none"/>
        </w:rPr>
        <w:t xml:space="preserve"> </w:t>
      </w:r>
      <w:proofErr w:type="spellStart"/>
      <w:r w:rsidRPr="00380110">
        <w:rPr>
          <w:rFonts w:ascii="Lato" w:eastAsia="Times New Roman" w:hAnsi="Lato" w:cs="Times New Roman"/>
          <w:i/>
          <w:iCs/>
          <w:color w:val="0C0C0F"/>
          <w:kern w:val="0"/>
          <w:lang w:eastAsia="it-IT"/>
          <w14:ligatures w14:val="none"/>
        </w:rPr>
        <w:t>Ethical</w:t>
      </w:r>
      <w:proofErr w:type="spellEnd"/>
      <w:r w:rsidRPr="00380110">
        <w:rPr>
          <w:rFonts w:ascii="Lato" w:eastAsia="Times New Roman" w:hAnsi="Lato" w:cs="Times New Roman"/>
          <w:i/>
          <w:iCs/>
          <w:color w:val="0C0C0F"/>
          <w:kern w:val="0"/>
          <w:lang w:eastAsia="it-IT"/>
          <w14:ligatures w14:val="none"/>
        </w:rPr>
        <w:t xml:space="preserve"> Charter on the use of </w:t>
      </w:r>
      <w:proofErr w:type="spellStart"/>
      <w:r w:rsidRPr="00380110">
        <w:rPr>
          <w:rFonts w:ascii="Lato" w:eastAsia="Times New Roman" w:hAnsi="Lato" w:cs="Times New Roman"/>
          <w:i/>
          <w:iCs/>
          <w:color w:val="0C0C0F"/>
          <w:kern w:val="0"/>
          <w:lang w:eastAsia="it-IT"/>
          <w14:ligatures w14:val="none"/>
        </w:rPr>
        <w:t>artificial</w:t>
      </w:r>
      <w:proofErr w:type="spellEnd"/>
      <w:r w:rsidRPr="00380110">
        <w:rPr>
          <w:rFonts w:ascii="Lato" w:eastAsia="Times New Roman" w:hAnsi="Lato" w:cs="Times New Roman"/>
          <w:i/>
          <w:iCs/>
          <w:color w:val="0C0C0F"/>
          <w:kern w:val="0"/>
          <w:lang w:eastAsia="it-IT"/>
          <w14:ligatures w14:val="none"/>
        </w:rPr>
        <w:t xml:space="preserve"> intelligence (AI) in </w:t>
      </w:r>
      <w:proofErr w:type="spellStart"/>
      <w:r w:rsidRPr="00380110">
        <w:rPr>
          <w:rFonts w:ascii="Lato" w:eastAsia="Times New Roman" w:hAnsi="Lato" w:cs="Times New Roman"/>
          <w:i/>
          <w:iCs/>
          <w:color w:val="0C0C0F"/>
          <w:kern w:val="0"/>
          <w:lang w:eastAsia="it-IT"/>
          <w14:ligatures w14:val="none"/>
        </w:rPr>
        <w:t>judicial</w:t>
      </w:r>
      <w:proofErr w:type="spellEnd"/>
      <w:r w:rsidRPr="00380110">
        <w:rPr>
          <w:rFonts w:ascii="Lato" w:eastAsia="Times New Roman" w:hAnsi="Lato" w:cs="Times New Roman"/>
          <w:i/>
          <w:iCs/>
          <w:color w:val="0C0C0F"/>
          <w:kern w:val="0"/>
          <w:lang w:eastAsia="it-IT"/>
          <w14:ligatures w14:val="none"/>
        </w:rPr>
        <w:t xml:space="preserve"> systems and </w:t>
      </w:r>
      <w:proofErr w:type="spellStart"/>
      <w:r w:rsidRPr="00380110">
        <w:rPr>
          <w:rFonts w:ascii="Lato" w:eastAsia="Times New Roman" w:hAnsi="Lato" w:cs="Times New Roman"/>
          <w:i/>
          <w:iCs/>
          <w:color w:val="0C0C0F"/>
          <w:kern w:val="0"/>
          <w:lang w:eastAsia="it-IT"/>
          <w14:ligatures w14:val="none"/>
        </w:rPr>
        <w:t>their</w:t>
      </w:r>
      <w:proofErr w:type="spellEnd"/>
      <w:r w:rsidRPr="00380110">
        <w:rPr>
          <w:rFonts w:ascii="Lato" w:eastAsia="Times New Roman" w:hAnsi="Lato" w:cs="Times New Roman"/>
          <w:i/>
          <w:iCs/>
          <w:color w:val="0C0C0F"/>
          <w:kern w:val="0"/>
          <w:lang w:eastAsia="it-IT"/>
          <w14:ligatures w14:val="none"/>
        </w:rPr>
        <w:t xml:space="preserve"> </w:t>
      </w:r>
      <w:proofErr w:type="spellStart"/>
      <w:r w:rsidRPr="00380110">
        <w:rPr>
          <w:rFonts w:ascii="Lato" w:eastAsia="Times New Roman" w:hAnsi="Lato" w:cs="Times New Roman"/>
          <w:i/>
          <w:iCs/>
          <w:color w:val="0C0C0F"/>
          <w:kern w:val="0"/>
          <w:lang w:eastAsia="it-IT"/>
          <w14:ligatures w14:val="none"/>
        </w:rPr>
        <w:t>environment</w:t>
      </w:r>
      <w:proofErr w:type="spellEnd"/>
      <w:r w:rsidRPr="00380110">
        <w:rPr>
          <w:rFonts w:ascii="Lato" w:eastAsia="Times New Roman" w:hAnsi="Lato" w:cs="Times New Roman"/>
          <w:color w:val="0C0C0F"/>
          <w:kern w:val="0"/>
          <w:lang w:eastAsia="it-IT"/>
          <w14:ligatures w14:val="none"/>
        </w:rPr>
        <w:t>”, per la introduzione di principi etici (non discriminazione, trasparenza, controllo umano, etc.) nel settore giudiziario. È una guida che può essere presa come riferimento nazionale dagli Stati. Ne abbiamo parlato nell'articolo </w:t>
      </w:r>
      <w:hyperlink r:id="rId9" w:history="1">
        <w:r w:rsidRPr="00380110">
          <w:rPr>
            <w:rFonts w:ascii="Lato" w:eastAsia="Times New Roman" w:hAnsi="Lato" w:cs="Times New Roman"/>
            <w:b/>
            <w:bCs/>
            <w:i/>
            <w:iCs/>
            <w:color w:val="1E5192"/>
            <w:kern w:val="0"/>
            <w:u w:val="single"/>
            <w:lang w:eastAsia="it-IT"/>
            <w14:ligatures w14:val="none"/>
          </w:rPr>
          <w:t>Intelligenza artificiale generativa e giustizia, le 7 regole d'oro per il suo utilizzo</w:t>
        </w:r>
      </w:hyperlink>
      <w:r w:rsidRPr="00380110">
        <w:rPr>
          <w:rFonts w:ascii="Lato" w:eastAsia="Times New Roman" w:hAnsi="Lato" w:cs="Times New Roman"/>
          <w:color w:val="0C0C0F"/>
          <w:kern w:val="0"/>
          <w:lang w:eastAsia="it-IT"/>
          <w14:ligatures w14:val="none"/>
        </w:rPr>
        <w:t>.</w:t>
      </w:r>
    </w:p>
    <w:p w14:paraId="434A6E59" w14:textId="77777777" w:rsidR="00380110" w:rsidRDefault="00380110" w:rsidP="00380110">
      <w:pPr>
        <w:spacing w:line="360" w:lineRule="auto"/>
        <w:jc w:val="both"/>
        <w:rPr>
          <w:rFonts w:ascii="Lato" w:eastAsia="Times New Roman" w:hAnsi="Lato" w:cs="Times New Roman"/>
          <w:color w:val="0C0C0F"/>
          <w:kern w:val="0"/>
          <w:lang w:eastAsia="it-IT"/>
          <w14:ligatures w14:val="none"/>
        </w:rPr>
      </w:pPr>
      <w:r w:rsidRPr="00380110">
        <w:rPr>
          <w:rFonts w:ascii="Lato" w:eastAsia="Times New Roman" w:hAnsi="Lato" w:cs="Times New Roman"/>
          <w:color w:val="0C0C0F"/>
          <w:kern w:val="0"/>
          <w:lang w:eastAsia="it-IT"/>
          <w14:ligatures w14:val="none"/>
        </w:rPr>
        <w:t xml:space="preserve">Altri Paesi stanno lavorando su questo </w:t>
      </w:r>
      <w:proofErr w:type="gramStart"/>
      <w:r w:rsidRPr="00380110">
        <w:rPr>
          <w:rFonts w:ascii="Lato" w:eastAsia="Times New Roman" w:hAnsi="Lato" w:cs="Times New Roman"/>
          <w:color w:val="0C0C0F"/>
          <w:kern w:val="0"/>
          <w:lang w:eastAsia="it-IT"/>
          <w14:ligatures w14:val="none"/>
        </w:rPr>
        <w:t>fronte:  la</w:t>
      </w:r>
      <w:proofErr w:type="gramEnd"/>
      <w:r w:rsidRPr="00380110">
        <w:rPr>
          <w:rFonts w:ascii="Lato" w:eastAsia="Times New Roman" w:hAnsi="Lato" w:cs="Times New Roman"/>
          <w:color w:val="0C0C0F"/>
          <w:kern w:val="0"/>
          <w:lang w:eastAsia="it-IT"/>
          <w14:ligatures w14:val="none"/>
        </w:rPr>
        <w:t xml:space="preserve"> Svezia, dove l’amministrazione dei tribunali (</w:t>
      </w:r>
      <w:proofErr w:type="spellStart"/>
      <w:r w:rsidRPr="00380110">
        <w:rPr>
          <w:rFonts w:ascii="Lato" w:eastAsia="Times New Roman" w:hAnsi="Lato" w:cs="Times New Roman"/>
          <w:color w:val="0C0C0F"/>
          <w:kern w:val="0"/>
          <w:lang w:eastAsia="it-IT"/>
          <w14:ligatures w14:val="none"/>
        </w:rPr>
        <w:t>Domstolsverket</w:t>
      </w:r>
      <w:proofErr w:type="spellEnd"/>
      <w:r w:rsidRPr="00380110">
        <w:rPr>
          <w:rFonts w:ascii="Lato" w:eastAsia="Times New Roman" w:hAnsi="Lato" w:cs="Times New Roman"/>
          <w:color w:val="0C0C0F"/>
          <w:kern w:val="0"/>
          <w:lang w:eastAsia="it-IT"/>
          <w14:ligatures w14:val="none"/>
        </w:rPr>
        <w:t xml:space="preserve">) pubblica progetti pilota (p.es. traduzioni con IA) e materiali; e la  Danimarca, </w:t>
      </w:r>
      <w:r w:rsidRPr="00380110">
        <w:rPr>
          <w:rFonts w:ascii="Lato" w:eastAsia="Times New Roman" w:hAnsi="Lato" w:cs="Times New Roman"/>
          <w:color w:val="0C0C0F"/>
          <w:kern w:val="0"/>
          <w:lang w:eastAsia="it-IT"/>
          <w14:ligatures w14:val="none"/>
        </w:rPr>
        <w:lastRenderedPageBreak/>
        <w:t>la cui strategia di digitalizzazione 2024-27 dei tribunali prevede di fissare “linee governance per l’uso responsabile di soluzioni intelligenti” .</w:t>
      </w:r>
    </w:p>
    <w:p w14:paraId="187AF043" w14:textId="77777777" w:rsidR="00380110" w:rsidRPr="00380110" w:rsidRDefault="00380110" w:rsidP="00380110">
      <w:pPr>
        <w:spacing w:line="360" w:lineRule="auto"/>
        <w:jc w:val="both"/>
        <w:rPr>
          <w:rFonts w:ascii="Lato" w:eastAsia="Times New Roman" w:hAnsi="Lato" w:cs="Times New Roman"/>
          <w:color w:val="0C0C0F"/>
          <w:kern w:val="0"/>
          <w:lang w:eastAsia="it-IT"/>
          <w14:ligatures w14:val="none"/>
        </w:rPr>
      </w:pPr>
    </w:p>
    <w:p w14:paraId="197829FF" w14:textId="77777777" w:rsidR="00380110" w:rsidRPr="00380110" w:rsidRDefault="00380110" w:rsidP="00380110">
      <w:pPr>
        <w:spacing w:line="360" w:lineRule="auto"/>
        <w:jc w:val="both"/>
        <w:outlineLvl w:val="1"/>
        <w:rPr>
          <w:rFonts w:ascii="Lato" w:eastAsia="Times New Roman" w:hAnsi="Lato" w:cs="Times New Roman"/>
          <w:b/>
          <w:bCs/>
          <w:color w:val="0C0C0F"/>
          <w:kern w:val="0"/>
          <w:sz w:val="36"/>
          <w:szCs w:val="36"/>
          <w:lang w:eastAsia="it-IT"/>
          <w14:ligatures w14:val="none"/>
        </w:rPr>
      </w:pPr>
      <w:r w:rsidRPr="00380110">
        <w:rPr>
          <w:rFonts w:ascii="Lato" w:eastAsia="Times New Roman" w:hAnsi="Lato" w:cs="Times New Roman"/>
          <w:b/>
          <w:bCs/>
          <w:color w:val="0C0C0F"/>
          <w:kern w:val="0"/>
          <w:sz w:val="36"/>
          <w:szCs w:val="36"/>
          <w:lang w:eastAsia="it-IT"/>
          <w14:ligatures w14:val="none"/>
        </w:rPr>
        <w:t>Ma quali attività giudiziarie possono essere considerate ad alto rischio e quali sono esonerate dalla disciplina più stringente?</w:t>
      </w:r>
    </w:p>
    <w:p w14:paraId="31EFD110" w14:textId="77777777" w:rsidR="00380110" w:rsidRPr="00380110" w:rsidRDefault="00380110" w:rsidP="00380110">
      <w:pPr>
        <w:spacing w:line="360" w:lineRule="auto"/>
        <w:jc w:val="both"/>
        <w:rPr>
          <w:rFonts w:ascii="Lato" w:eastAsia="Times New Roman" w:hAnsi="Lato" w:cs="Times New Roman"/>
          <w:color w:val="0C0C0F"/>
          <w:kern w:val="0"/>
          <w:lang w:eastAsia="it-IT"/>
          <w14:ligatures w14:val="none"/>
        </w:rPr>
      </w:pPr>
      <w:r w:rsidRPr="00380110">
        <w:rPr>
          <w:rFonts w:ascii="Lato" w:eastAsia="Times New Roman" w:hAnsi="Lato" w:cs="Times New Roman"/>
          <w:color w:val="0C0C0F"/>
          <w:kern w:val="0"/>
          <w:lang w:eastAsia="it-IT"/>
          <w14:ligatures w14:val="none"/>
        </w:rPr>
        <w:t xml:space="preserve">C’è un altro aspetto molto interessante emerso dai lavori dal gruppo di lavoro AI e Giustizia: la lettura delle norme, sia quelle dell’AI Act sia quelle del </w:t>
      </w:r>
      <w:proofErr w:type="spellStart"/>
      <w:r w:rsidRPr="00380110">
        <w:rPr>
          <w:rFonts w:ascii="Lato" w:eastAsia="Times New Roman" w:hAnsi="Lato" w:cs="Times New Roman"/>
          <w:color w:val="0C0C0F"/>
          <w:kern w:val="0"/>
          <w:lang w:eastAsia="it-IT"/>
          <w14:ligatures w14:val="none"/>
        </w:rPr>
        <w:t>ddl</w:t>
      </w:r>
      <w:proofErr w:type="spellEnd"/>
      <w:r w:rsidRPr="00380110">
        <w:rPr>
          <w:rFonts w:ascii="Lato" w:eastAsia="Times New Roman" w:hAnsi="Lato" w:cs="Times New Roman"/>
          <w:color w:val="0C0C0F"/>
          <w:kern w:val="0"/>
          <w:lang w:eastAsia="it-IT"/>
          <w14:ligatures w14:val="none"/>
        </w:rPr>
        <w:t xml:space="preserve"> governativo, non aiuta a identificare in concreto e con certezza quali sono effettivamente le “attività ad alto rischio nel settore della Giustizia”. Vediamo perché, secondo l’analisi degli Osservatori.</w:t>
      </w:r>
    </w:p>
    <w:p w14:paraId="583419D8" w14:textId="77777777" w:rsidR="00380110" w:rsidRPr="00380110" w:rsidRDefault="00380110" w:rsidP="00380110">
      <w:pPr>
        <w:spacing w:line="360" w:lineRule="auto"/>
        <w:jc w:val="both"/>
        <w:rPr>
          <w:rFonts w:ascii="Lato" w:eastAsia="Times New Roman" w:hAnsi="Lato" w:cs="Times New Roman"/>
          <w:color w:val="0C0C0F"/>
          <w:kern w:val="0"/>
          <w:lang w:eastAsia="it-IT"/>
          <w14:ligatures w14:val="none"/>
        </w:rPr>
      </w:pPr>
      <w:r w:rsidRPr="00380110">
        <w:rPr>
          <w:rFonts w:ascii="Lato" w:eastAsia="Times New Roman" w:hAnsi="Lato" w:cs="Times New Roman"/>
          <w:color w:val="0C0C0F"/>
          <w:kern w:val="0"/>
          <w:lang w:eastAsia="it-IT"/>
          <w14:ligatures w14:val="none"/>
        </w:rPr>
        <w:t>Il reticolo entro il quale occorre muoversi sono i Considerando 53 e 61, l’articolo 6, e l’allegato III dell’AI ACT.</w:t>
      </w:r>
    </w:p>
    <w:p w14:paraId="61D054CD" w14:textId="77777777" w:rsidR="00380110" w:rsidRPr="00380110" w:rsidRDefault="00380110" w:rsidP="00380110">
      <w:pPr>
        <w:spacing w:line="360" w:lineRule="auto"/>
        <w:jc w:val="both"/>
        <w:rPr>
          <w:rFonts w:ascii="Lato" w:eastAsia="Times New Roman" w:hAnsi="Lato" w:cs="Times New Roman"/>
          <w:color w:val="0C0C0F"/>
          <w:kern w:val="0"/>
          <w:lang w:eastAsia="it-IT"/>
          <w14:ligatures w14:val="none"/>
        </w:rPr>
      </w:pPr>
      <w:r w:rsidRPr="00380110">
        <w:rPr>
          <w:rFonts w:ascii="Lato" w:eastAsia="Times New Roman" w:hAnsi="Lato" w:cs="Times New Roman"/>
          <w:color w:val="0C0C0F"/>
          <w:kern w:val="0"/>
          <w:lang w:eastAsia="it-IT"/>
          <w14:ligatures w14:val="none"/>
        </w:rPr>
        <w:t>L’art.6, “Regole di classificazione per i sistemi di IA ad alto rischio”, dispone al paragrafo 2, che “sono considerati ad alto rischio anche i sistemi di IA di cui all’allegato III”, allegato il quale, a sua volta, al punto 8 indica come ad alto rischio i sistemi di IA operanti nel settore “amministrazione della giustizia e processi democratici”, ripetendo per il primo settore alla lettera a) la definizione di cui al Considerando 61: “i sistemi di IA destinati a essere usati da un'autorità giudiziaria o per suo conto per assistere un'autorità giudiziaria nella ricerca e nell'interpretazione dei fatti e del diritto e nell'applicazione della legge a una serie concreta di fatti, o a essere utilizzati in modo analogo nella risoluzione alternativa delle controversie”.</w:t>
      </w:r>
    </w:p>
    <w:p w14:paraId="10521471" w14:textId="77777777" w:rsidR="00380110" w:rsidRPr="00380110" w:rsidRDefault="00380110" w:rsidP="00380110">
      <w:pPr>
        <w:spacing w:line="360" w:lineRule="auto"/>
        <w:jc w:val="both"/>
        <w:rPr>
          <w:rFonts w:ascii="Lato" w:eastAsia="Times New Roman" w:hAnsi="Lato" w:cs="Times New Roman"/>
          <w:color w:val="0C0C0F"/>
          <w:kern w:val="0"/>
          <w:lang w:eastAsia="it-IT"/>
          <w14:ligatures w14:val="none"/>
        </w:rPr>
      </w:pPr>
      <w:r w:rsidRPr="00380110">
        <w:rPr>
          <w:rFonts w:ascii="Lato" w:eastAsia="Times New Roman" w:hAnsi="Lato" w:cs="Times New Roman"/>
          <w:color w:val="0C0C0F"/>
          <w:kern w:val="0"/>
          <w:lang w:eastAsia="it-IT"/>
          <w14:ligatures w14:val="none"/>
        </w:rPr>
        <w:t>Nel paragrafo 3, però, lo stesso art.6 citato introduce delle deroghe alla classificazione ad alto rischio nei settori di cui all’allegato III, deroghe che, richiamando il tenore del Considerando 53, ricorrono a formule ampie:</w:t>
      </w:r>
    </w:p>
    <w:p w14:paraId="37E6EFF8" w14:textId="77777777" w:rsidR="00380110" w:rsidRPr="00380110" w:rsidRDefault="00380110" w:rsidP="00380110">
      <w:pPr>
        <w:spacing w:line="360" w:lineRule="auto"/>
        <w:ind w:left="600"/>
        <w:jc w:val="both"/>
        <w:rPr>
          <w:rFonts w:ascii="Lato" w:eastAsia="Times New Roman" w:hAnsi="Lato" w:cs="Times New Roman"/>
          <w:color w:val="0C0C0F"/>
          <w:kern w:val="0"/>
          <w:lang w:eastAsia="it-IT"/>
          <w14:ligatures w14:val="none"/>
        </w:rPr>
      </w:pPr>
      <w:r w:rsidRPr="00380110">
        <w:rPr>
          <w:rFonts w:ascii="Lato" w:eastAsia="Times New Roman" w:hAnsi="Lato" w:cs="Times New Roman"/>
          <w:i/>
          <w:iCs/>
          <w:color w:val="0C0C0F"/>
          <w:kern w:val="0"/>
          <w:lang w:eastAsia="it-IT"/>
          <w14:ligatures w14:val="none"/>
        </w:rPr>
        <w:t>“In deroga al paragrafo 2, un sistema di IA di cui all’allegato III non è considerato ad alto rischio se non presenta un rischio significativo di danno per la salute, la sicurezza o i diritti fondamentali delle persone fisiche, anche nel senso di non influenzare materialmente il risultato del processo decisionale”</w:t>
      </w:r>
      <w:r w:rsidRPr="00380110">
        <w:rPr>
          <w:rFonts w:ascii="Lato" w:eastAsia="Times New Roman" w:hAnsi="Lato" w:cs="Times New Roman"/>
          <w:color w:val="0C0C0F"/>
          <w:kern w:val="0"/>
          <w:lang w:eastAsia="it-IT"/>
          <w14:ligatures w14:val="none"/>
        </w:rPr>
        <w:t>.</w:t>
      </w:r>
    </w:p>
    <w:p w14:paraId="3190CA6C" w14:textId="77777777" w:rsidR="00380110" w:rsidRPr="00380110" w:rsidRDefault="00380110" w:rsidP="00380110">
      <w:pPr>
        <w:spacing w:line="360" w:lineRule="auto"/>
        <w:jc w:val="both"/>
        <w:rPr>
          <w:rFonts w:ascii="Lato" w:eastAsia="Times New Roman" w:hAnsi="Lato" w:cs="Times New Roman"/>
          <w:color w:val="0C0C0F"/>
          <w:kern w:val="0"/>
          <w:lang w:eastAsia="it-IT"/>
          <w14:ligatures w14:val="none"/>
        </w:rPr>
      </w:pPr>
      <w:proofErr w:type="gramStart"/>
      <w:r w:rsidRPr="00380110">
        <w:rPr>
          <w:rFonts w:ascii="Lato" w:eastAsia="Times New Roman" w:hAnsi="Lato" w:cs="Times New Roman"/>
          <w:color w:val="0C0C0F"/>
          <w:kern w:val="0"/>
          <w:lang w:eastAsia="it-IT"/>
          <w14:ligatures w14:val="none"/>
        </w:rPr>
        <w:t>E</w:t>
      </w:r>
      <w:proofErr w:type="gramEnd"/>
      <w:r w:rsidRPr="00380110">
        <w:rPr>
          <w:rFonts w:ascii="Lato" w:eastAsia="Times New Roman" w:hAnsi="Lato" w:cs="Times New Roman"/>
          <w:color w:val="0C0C0F"/>
          <w:kern w:val="0"/>
          <w:lang w:eastAsia="it-IT"/>
          <w14:ligatures w14:val="none"/>
        </w:rPr>
        <w:t xml:space="preserve"> specifica: </w:t>
      </w:r>
    </w:p>
    <w:p w14:paraId="1AB25619" w14:textId="77777777" w:rsidR="00380110" w:rsidRPr="00380110" w:rsidRDefault="00380110" w:rsidP="00380110">
      <w:pPr>
        <w:spacing w:line="360" w:lineRule="auto"/>
        <w:ind w:left="600"/>
        <w:jc w:val="both"/>
        <w:rPr>
          <w:rFonts w:ascii="Lato" w:eastAsia="Times New Roman" w:hAnsi="Lato" w:cs="Times New Roman"/>
          <w:color w:val="0C0C0F"/>
          <w:kern w:val="0"/>
          <w:lang w:eastAsia="it-IT"/>
          <w14:ligatures w14:val="none"/>
        </w:rPr>
      </w:pPr>
      <w:r w:rsidRPr="00380110">
        <w:rPr>
          <w:rFonts w:ascii="Lato" w:eastAsia="Times New Roman" w:hAnsi="Lato" w:cs="Times New Roman"/>
          <w:i/>
          <w:iCs/>
          <w:color w:val="0C0C0F"/>
          <w:kern w:val="0"/>
          <w:lang w:eastAsia="it-IT"/>
          <w14:ligatures w14:val="none"/>
        </w:rPr>
        <w:t>“Il paragrafo 1 si applica quando è soddisfatta almeno una qualsiasi delle condizioni seguenti:</w:t>
      </w:r>
    </w:p>
    <w:p w14:paraId="469DADC9" w14:textId="77777777" w:rsidR="00380110" w:rsidRPr="00380110" w:rsidRDefault="00380110" w:rsidP="00380110">
      <w:pPr>
        <w:spacing w:line="360" w:lineRule="auto"/>
        <w:ind w:left="600"/>
        <w:jc w:val="both"/>
        <w:rPr>
          <w:rFonts w:ascii="Lato" w:eastAsia="Times New Roman" w:hAnsi="Lato" w:cs="Times New Roman"/>
          <w:color w:val="0C0C0F"/>
          <w:kern w:val="0"/>
          <w:lang w:eastAsia="it-IT"/>
          <w14:ligatures w14:val="none"/>
        </w:rPr>
      </w:pPr>
      <w:r w:rsidRPr="00380110">
        <w:rPr>
          <w:rFonts w:ascii="Lato" w:eastAsia="Times New Roman" w:hAnsi="Lato" w:cs="Times New Roman"/>
          <w:i/>
          <w:iCs/>
          <w:color w:val="0C0C0F"/>
          <w:kern w:val="0"/>
          <w:lang w:eastAsia="it-IT"/>
          <w14:ligatures w14:val="none"/>
        </w:rPr>
        <w:t>a) il sistema di IA è destinato a eseguire un compito procedurale limitato;</w:t>
      </w:r>
    </w:p>
    <w:p w14:paraId="2A20D468" w14:textId="77777777" w:rsidR="00380110" w:rsidRPr="00380110" w:rsidRDefault="00380110" w:rsidP="00380110">
      <w:pPr>
        <w:spacing w:line="360" w:lineRule="auto"/>
        <w:ind w:left="600"/>
        <w:jc w:val="both"/>
        <w:rPr>
          <w:rFonts w:ascii="Lato" w:eastAsia="Times New Roman" w:hAnsi="Lato" w:cs="Times New Roman"/>
          <w:color w:val="0C0C0F"/>
          <w:kern w:val="0"/>
          <w:lang w:eastAsia="it-IT"/>
          <w14:ligatures w14:val="none"/>
        </w:rPr>
      </w:pPr>
      <w:r w:rsidRPr="00380110">
        <w:rPr>
          <w:rFonts w:ascii="Lato" w:eastAsia="Times New Roman" w:hAnsi="Lato" w:cs="Times New Roman"/>
          <w:i/>
          <w:iCs/>
          <w:color w:val="0C0C0F"/>
          <w:kern w:val="0"/>
          <w:lang w:eastAsia="it-IT"/>
          <w14:ligatures w14:val="none"/>
        </w:rPr>
        <w:lastRenderedPageBreak/>
        <w:t>b) il sistema di IA è destinato a migliorare il risultato di un'attività umana precedentemente completata;</w:t>
      </w:r>
    </w:p>
    <w:p w14:paraId="48817232" w14:textId="77777777" w:rsidR="00380110" w:rsidRPr="00380110" w:rsidRDefault="00380110" w:rsidP="00380110">
      <w:pPr>
        <w:spacing w:line="360" w:lineRule="auto"/>
        <w:ind w:left="600"/>
        <w:jc w:val="both"/>
        <w:rPr>
          <w:rFonts w:ascii="Lato" w:eastAsia="Times New Roman" w:hAnsi="Lato" w:cs="Times New Roman"/>
          <w:color w:val="0C0C0F"/>
          <w:kern w:val="0"/>
          <w:lang w:eastAsia="it-IT"/>
          <w14:ligatures w14:val="none"/>
        </w:rPr>
      </w:pPr>
      <w:r w:rsidRPr="00380110">
        <w:rPr>
          <w:rFonts w:ascii="Lato" w:eastAsia="Times New Roman" w:hAnsi="Lato" w:cs="Times New Roman"/>
          <w:i/>
          <w:iCs/>
          <w:color w:val="0C0C0F"/>
          <w:kern w:val="0"/>
          <w:lang w:eastAsia="it-IT"/>
          <w14:ligatures w14:val="none"/>
        </w:rPr>
        <w:t>c) il sistema di IA è destinato a rilevare schemi decisionali o deviazioni da schemi decisionali precedenti e non è finalizzato a sostituire o influenzare la valutazione umana precedentemente completata senza un'adeguata revisione umana; o</w:t>
      </w:r>
    </w:p>
    <w:p w14:paraId="2906CEE4" w14:textId="77777777" w:rsidR="00380110" w:rsidRDefault="00380110" w:rsidP="00380110">
      <w:pPr>
        <w:spacing w:line="360" w:lineRule="auto"/>
        <w:ind w:left="600"/>
        <w:jc w:val="both"/>
        <w:rPr>
          <w:rFonts w:ascii="Lato" w:eastAsia="Times New Roman" w:hAnsi="Lato" w:cs="Times New Roman"/>
          <w:i/>
          <w:iCs/>
          <w:color w:val="0C0C0F"/>
          <w:kern w:val="0"/>
          <w:lang w:eastAsia="it-IT"/>
          <w14:ligatures w14:val="none"/>
        </w:rPr>
      </w:pPr>
      <w:r w:rsidRPr="00380110">
        <w:rPr>
          <w:rFonts w:ascii="Lato" w:eastAsia="Times New Roman" w:hAnsi="Lato" w:cs="Times New Roman"/>
          <w:i/>
          <w:iCs/>
          <w:color w:val="0C0C0F"/>
          <w:kern w:val="0"/>
          <w:lang w:eastAsia="it-IT"/>
          <w14:ligatures w14:val="none"/>
        </w:rPr>
        <w:t>d) il sistema di IA è destinato a eseguire un compito preparatorio per una valutazione pertinente ai fini dei casi d'uso elencati nell'allegato III.”</w:t>
      </w:r>
    </w:p>
    <w:p w14:paraId="620490A0" w14:textId="77777777" w:rsidR="00380110" w:rsidRPr="00380110" w:rsidRDefault="00380110" w:rsidP="00380110">
      <w:pPr>
        <w:spacing w:line="360" w:lineRule="auto"/>
        <w:ind w:left="600"/>
        <w:jc w:val="both"/>
        <w:rPr>
          <w:rFonts w:ascii="Lato" w:eastAsia="Times New Roman" w:hAnsi="Lato" w:cs="Times New Roman"/>
          <w:color w:val="0C0C0F"/>
          <w:kern w:val="0"/>
          <w:lang w:eastAsia="it-IT"/>
          <w14:ligatures w14:val="none"/>
        </w:rPr>
      </w:pPr>
    </w:p>
    <w:tbl>
      <w:tblPr>
        <w:tblW w:w="5000" w:type="pct"/>
        <w:tblCellMar>
          <w:top w:w="15" w:type="dxa"/>
          <w:left w:w="15" w:type="dxa"/>
          <w:bottom w:w="15" w:type="dxa"/>
          <w:right w:w="15" w:type="dxa"/>
        </w:tblCellMar>
        <w:tblLook w:val="04A0" w:firstRow="1" w:lastRow="0" w:firstColumn="1" w:lastColumn="0" w:noHBand="0" w:noVBand="1"/>
      </w:tblPr>
      <w:tblGrid>
        <w:gridCol w:w="9622"/>
      </w:tblGrid>
      <w:tr w:rsidR="00380110" w:rsidRPr="00380110" w14:paraId="646BC1DA" w14:textId="77777777" w:rsidTr="00380110">
        <w:tc>
          <w:tcPr>
            <w:tcW w:w="5000" w:type="pct"/>
            <w:tcBorders>
              <w:top w:val="single" w:sz="6" w:space="0" w:color="D8D8D8"/>
              <w:left w:val="single" w:sz="6" w:space="0" w:color="D8D8D8"/>
              <w:bottom w:val="single" w:sz="6" w:space="0" w:color="D8D8D8"/>
              <w:right w:val="single" w:sz="6" w:space="0" w:color="D8D8D8"/>
            </w:tcBorders>
            <w:hideMark/>
          </w:tcPr>
          <w:p w14:paraId="053BDBCC" w14:textId="77777777" w:rsidR="00380110" w:rsidRPr="00380110" w:rsidRDefault="00380110" w:rsidP="00380110">
            <w:pPr>
              <w:spacing w:line="360" w:lineRule="auto"/>
              <w:jc w:val="both"/>
              <w:rPr>
                <w:rFonts w:ascii="Times New Roman" w:eastAsia="Times New Roman" w:hAnsi="Times New Roman" w:cs="Times New Roman"/>
                <w:kern w:val="0"/>
                <w:sz w:val="23"/>
                <w:szCs w:val="23"/>
                <w:lang w:eastAsia="it-IT"/>
                <w14:ligatures w14:val="none"/>
              </w:rPr>
            </w:pPr>
            <w:proofErr w:type="gramStart"/>
            <w:r w:rsidRPr="00380110">
              <w:rPr>
                <w:rFonts w:ascii="Times New Roman" w:eastAsia="Times New Roman" w:hAnsi="Times New Roman" w:cs="Times New Roman"/>
                <w:b/>
                <w:bCs/>
                <w:kern w:val="0"/>
                <w:sz w:val="23"/>
                <w:szCs w:val="23"/>
                <w:lang w:eastAsia="it-IT"/>
                <w14:ligatures w14:val="none"/>
              </w:rPr>
              <w:t>AI</w:t>
            </w:r>
            <w:proofErr w:type="gramEnd"/>
            <w:r w:rsidRPr="00380110">
              <w:rPr>
                <w:rFonts w:ascii="Times New Roman" w:eastAsia="Times New Roman" w:hAnsi="Times New Roman" w:cs="Times New Roman"/>
                <w:b/>
                <w:bCs/>
                <w:kern w:val="0"/>
                <w:sz w:val="23"/>
                <w:szCs w:val="23"/>
                <w:lang w:eastAsia="it-IT"/>
                <w14:ligatures w14:val="none"/>
              </w:rPr>
              <w:t xml:space="preserve"> ACT E GIURISDIZIONE: LE TEMPISTICHE DA MONITORARE</w:t>
            </w:r>
          </w:p>
        </w:tc>
      </w:tr>
      <w:tr w:rsidR="00380110" w:rsidRPr="00380110" w14:paraId="2397CBFC" w14:textId="77777777" w:rsidTr="00380110">
        <w:tc>
          <w:tcPr>
            <w:tcW w:w="5000" w:type="pct"/>
            <w:tcBorders>
              <w:top w:val="single" w:sz="6" w:space="0" w:color="D8D8D8"/>
              <w:left w:val="single" w:sz="6" w:space="0" w:color="D8D8D8"/>
              <w:bottom w:val="single" w:sz="6" w:space="0" w:color="D8D8D8"/>
              <w:right w:val="single" w:sz="6" w:space="0" w:color="D8D8D8"/>
            </w:tcBorders>
            <w:hideMark/>
          </w:tcPr>
          <w:p w14:paraId="14F8B080" w14:textId="77777777" w:rsidR="00380110" w:rsidRPr="00380110" w:rsidRDefault="00380110" w:rsidP="00380110">
            <w:pPr>
              <w:spacing w:line="360" w:lineRule="auto"/>
              <w:jc w:val="both"/>
              <w:rPr>
                <w:rFonts w:ascii="Times New Roman" w:eastAsia="Times New Roman" w:hAnsi="Times New Roman" w:cs="Times New Roman"/>
                <w:kern w:val="0"/>
                <w:sz w:val="23"/>
                <w:szCs w:val="23"/>
                <w:lang w:eastAsia="it-IT"/>
                <w14:ligatures w14:val="none"/>
              </w:rPr>
            </w:pPr>
            <w:r w:rsidRPr="00380110">
              <w:rPr>
                <w:rFonts w:ascii="Times New Roman" w:eastAsia="Times New Roman" w:hAnsi="Times New Roman" w:cs="Times New Roman"/>
                <w:kern w:val="0"/>
                <w:sz w:val="23"/>
                <w:szCs w:val="23"/>
                <w:lang w:eastAsia="it-IT"/>
                <w14:ligatures w14:val="none"/>
              </w:rPr>
              <w:t>Ad oggi vige l’obbligo generale di alfabetizzazione di cui all’art.4 AI ACT riguardante tutti i sistemi di AI;</w:t>
            </w:r>
            <w:r w:rsidRPr="00380110">
              <w:rPr>
                <w:rFonts w:ascii="Times New Roman" w:eastAsia="Times New Roman" w:hAnsi="Times New Roman" w:cs="Times New Roman"/>
                <w:kern w:val="0"/>
                <w:sz w:val="23"/>
                <w:szCs w:val="23"/>
                <w:lang w:eastAsia="it-IT"/>
                <w14:ligatures w14:val="none"/>
              </w:rPr>
              <w:br/>
            </w:r>
            <w:r w:rsidRPr="00380110">
              <w:rPr>
                <w:rFonts w:ascii="Times New Roman" w:eastAsia="Times New Roman" w:hAnsi="Times New Roman" w:cs="Times New Roman"/>
                <w:kern w:val="0"/>
                <w:sz w:val="23"/>
                <w:szCs w:val="23"/>
                <w:lang w:eastAsia="it-IT"/>
                <w14:ligatures w14:val="none"/>
              </w:rPr>
              <w:br/>
              <w:t>Dal 2 agosto 2025 gli operatori di modelli di AI per finalità generali “nuovi” (modelli anche in quanto sottesi a sistemi di AI generali o speciali destinati o meno ad attività ad alto rischio) dovranno conformarsi agli obblighi del Regolamento;</w:t>
            </w:r>
            <w:r w:rsidRPr="00380110">
              <w:rPr>
                <w:rFonts w:ascii="Times New Roman" w:eastAsia="Times New Roman" w:hAnsi="Times New Roman" w:cs="Times New Roman"/>
                <w:kern w:val="0"/>
                <w:sz w:val="23"/>
                <w:szCs w:val="23"/>
                <w:lang w:eastAsia="it-IT"/>
                <w14:ligatures w14:val="none"/>
              </w:rPr>
              <w:br/>
            </w:r>
            <w:r w:rsidRPr="00380110">
              <w:rPr>
                <w:rFonts w:ascii="Times New Roman" w:eastAsia="Times New Roman" w:hAnsi="Times New Roman" w:cs="Times New Roman"/>
                <w:kern w:val="0"/>
                <w:sz w:val="23"/>
                <w:szCs w:val="23"/>
                <w:lang w:eastAsia="it-IT"/>
                <w14:ligatures w14:val="none"/>
              </w:rPr>
              <w:br/>
              <w:t>Entro il 2 agosto 2027 gli operatori di modelli di AI per finalità generali immessi sul mercato prima del 2 agosto 2025 dovranno adottare le misure necessarie per conformarsi agli obblighi del Regolamento;</w:t>
            </w:r>
            <w:r w:rsidRPr="00380110">
              <w:rPr>
                <w:rFonts w:ascii="Times New Roman" w:eastAsia="Times New Roman" w:hAnsi="Times New Roman" w:cs="Times New Roman"/>
                <w:kern w:val="0"/>
                <w:sz w:val="23"/>
                <w:szCs w:val="23"/>
                <w:lang w:eastAsia="it-IT"/>
                <w14:ligatures w14:val="none"/>
              </w:rPr>
              <w:br/>
            </w:r>
            <w:r w:rsidRPr="00380110">
              <w:rPr>
                <w:rFonts w:ascii="Times New Roman" w:eastAsia="Times New Roman" w:hAnsi="Times New Roman" w:cs="Times New Roman"/>
                <w:kern w:val="0"/>
                <w:sz w:val="23"/>
                <w:szCs w:val="23"/>
                <w:lang w:eastAsia="it-IT"/>
                <w14:ligatures w14:val="none"/>
              </w:rPr>
              <w:br/>
              <w:t>Dal 2 agosto 2026 entra in vigore la disciplina specifica per i sistemi di AI ad alto rischio “nuovi”;</w:t>
            </w:r>
            <w:r w:rsidRPr="00380110">
              <w:rPr>
                <w:rFonts w:ascii="Times New Roman" w:eastAsia="Times New Roman" w:hAnsi="Times New Roman" w:cs="Times New Roman"/>
                <w:kern w:val="0"/>
                <w:sz w:val="23"/>
                <w:szCs w:val="23"/>
                <w:lang w:eastAsia="it-IT"/>
                <w14:ligatures w14:val="none"/>
              </w:rPr>
              <w:br/>
            </w:r>
            <w:r w:rsidRPr="00380110">
              <w:rPr>
                <w:rFonts w:ascii="Times New Roman" w:eastAsia="Times New Roman" w:hAnsi="Times New Roman" w:cs="Times New Roman"/>
                <w:kern w:val="0"/>
                <w:sz w:val="23"/>
                <w:szCs w:val="23"/>
                <w:lang w:eastAsia="it-IT"/>
                <w14:ligatures w14:val="none"/>
              </w:rPr>
              <w:br/>
              <w:t>Sempre dal 2 agosto 2026 questa disciplina si applicherà anche per i sistemi di AI ad alto rischio immessi sul mercato prima di tale data laddove a tali sistemi si apportino “modifiche significative”;</w:t>
            </w:r>
            <w:r w:rsidRPr="00380110">
              <w:rPr>
                <w:rFonts w:ascii="Times New Roman" w:eastAsia="Times New Roman" w:hAnsi="Times New Roman" w:cs="Times New Roman"/>
                <w:kern w:val="0"/>
                <w:sz w:val="23"/>
                <w:szCs w:val="23"/>
                <w:lang w:eastAsia="it-IT"/>
                <w14:ligatures w14:val="none"/>
              </w:rPr>
              <w:br/>
            </w:r>
            <w:r w:rsidRPr="00380110">
              <w:rPr>
                <w:rFonts w:ascii="Times New Roman" w:eastAsia="Times New Roman" w:hAnsi="Times New Roman" w:cs="Times New Roman"/>
                <w:kern w:val="0"/>
                <w:sz w:val="23"/>
                <w:szCs w:val="23"/>
                <w:lang w:eastAsia="it-IT"/>
                <w14:ligatures w14:val="none"/>
              </w:rPr>
              <w:br/>
              <w:t xml:space="preserve">Entro il 2 agosto 2030 in ogni caso i fornitori e </w:t>
            </w:r>
            <w:proofErr w:type="spellStart"/>
            <w:r w:rsidRPr="00380110">
              <w:rPr>
                <w:rFonts w:ascii="Times New Roman" w:eastAsia="Times New Roman" w:hAnsi="Times New Roman" w:cs="Times New Roman"/>
                <w:kern w:val="0"/>
                <w:sz w:val="23"/>
                <w:szCs w:val="23"/>
                <w:lang w:eastAsia="it-IT"/>
                <w14:ligatures w14:val="none"/>
              </w:rPr>
              <w:t>deployers</w:t>
            </w:r>
            <w:proofErr w:type="spellEnd"/>
            <w:r w:rsidRPr="00380110">
              <w:rPr>
                <w:rFonts w:ascii="Times New Roman" w:eastAsia="Times New Roman" w:hAnsi="Times New Roman" w:cs="Times New Roman"/>
                <w:kern w:val="0"/>
                <w:sz w:val="23"/>
                <w:szCs w:val="23"/>
                <w:lang w:eastAsia="it-IT"/>
                <w14:ligatures w14:val="none"/>
              </w:rPr>
              <w:t xml:space="preserve"> di sistemi di IA ad alto rischio utilizzati nella giurisdizione dovranno conformarsi ai requisiti e agli obblighi di cui al Regolamento.</w:t>
            </w:r>
          </w:p>
        </w:tc>
      </w:tr>
      <w:tr w:rsidR="00380110" w:rsidRPr="00380110" w14:paraId="7392E4E8" w14:textId="77777777" w:rsidTr="00380110">
        <w:tc>
          <w:tcPr>
            <w:tcW w:w="5000" w:type="pct"/>
            <w:tcBorders>
              <w:top w:val="single" w:sz="6" w:space="0" w:color="D8D8D8"/>
              <w:left w:val="single" w:sz="6" w:space="0" w:color="D8D8D8"/>
              <w:bottom w:val="single" w:sz="6" w:space="0" w:color="D8D8D8"/>
              <w:right w:val="single" w:sz="6" w:space="0" w:color="D8D8D8"/>
            </w:tcBorders>
            <w:hideMark/>
          </w:tcPr>
          <w:p w14:paraId="11793FD7" w14:textId="77777777" w:rsidR="00380110" w:rsidRPr="00380110" w:rsidRDefault="00380110" w:rsidP="00380110">
            <w:pPr>
              <w:spacing w:line="360" w:lineRule="auto"/>
              <w:jc w:val="both"/>
              <w:rPr>
                <w:rFonts w:ascii="Times New Roman" w:eastAsia="Times New Roman" w:hAnsi="Times New Roman" w:cs="Times New Roman"/>
                <w:kern w:val="0"/>
                <w:sz w:val="23"/>
                <w:szCs w:val="23"/>
                <w:lang w:eastAsia="it-IT"/>
                <w14:ligatures w14:val="none"/>
              </w:rPr>
            </w:pPr>
            <w:r w:rsidRPr="00380110">
              <w:rPr>
                <w:rFonts w:ascii="Times New Roman" w:eastAsia="Times New Roman" w:hAnsi="Times New Roman" w:cs="Times New Roman"/>
                <w:kern w:val="0"/>
                <w:sz w:val="20"/>
                <w:szCs w:val="20"/>
                <w:vertAlign w:val="superscript"/>
                <w:lang w:eastAsia="it-IT"/>
                <w14:ligatures w14:val="none"/>
              </w:rPr>
              <w:t>Scheda a cura di Elena Riva Crugnola con la collaborazione di Agostino Clemente_ Gruppo di lavoro AI e Giustizia Osservatori sulla Giustizia Civile</w:t>
            </w:r>
          </w:p>
        </w:tc>
      </w:tr>
    </w:tbl>
    <w:p w14:paraId="3FB8A56E" w14:textId="77777777" w:rsidR="00380110" w:rsidRDefault="00380110" w:rsidP="00380110">
      <w:pPr>
        <w:spacing w:line="360" w:lineRule="auto"/>
        <w:jc w:val="both"/>
        <w:rPr>
          <w:rFonts w:ascii="Lato" w:eastAsia="Times New Roman" w:hAnsi="Lato" w:cs="Times New Roman"/>
          <w:color w:val="0C0C0F"/>
          <w:kern w:val="0"/>
          <w:lang w:eastAsia="it-IT"/>
          <w14:ligatures w14:val="none"/>
        </w:rPr>
      </w:pPr>
    </w:p>
    <w:p w14:paraId="65649542" w14:textId="15036EA6" w:rsidR="00380110" w:rsidRPr="00380110" w:rsidRDefault="00380110" w:rsidP="00380110">
      <w:pPr>
        <w:spacing w:line="360" w:lineRule="auto"/>
        <w:jc w:val="both"/>
        <w:rPr>
          <w:rFonts w:ascii="Lato" w:eastAsia="Times New Roman" w:hAnsi="Lato" w:cs="Times New Roman"/>
          <w:color w:val="0C0C0F"/>
          <w:kern w:val="0"/>
          <w:lang w:eastAsia="it-IT"/>
          <w14:ligatures w14:val="none"/>
        </w:rPr>
      </w:pPr>
      <w:r w:rsidRPr="00380110">
        <w:rPr>
          <w:rFonts w:ascii="Lato" w:eastAsia="Times New Roman" w:hAnsi="Lato" w:cs="Times New Roman"/>
          <w:color w:val="0C0C0F"/>
          <w:kern w:val="0"/>
          <w:lang w:eastAsia="it-IT"/>
          <w14:ligatures w14:val="none"/>
        </w:rPr>
        <w:t xml:space="preserve">Alla luce di queste disposizioni, rileva il Gruppo di lavoro, “da un lato pare debba escludersi la liceità dell’uso di sistemi di IA che sostituiscano in toto la decisione giurisdizionale umana, benché tale pratica non rientri espressamente tra quelle vietate dall’art.5 AI ACT (le pratiche vietate, </w:t>
      </w:r>
      <w:proofErr w:type="spellStart"/>
      <w:r w:rsidRPr="00380110">
        <w:rPr>
          <w:rFonts w:ascii="Lato" w:eastAsia="Times New Roman" w:hAnsi="Lato" w:cs="Times New Roman"/>
          <w:color w:val="0C0C0F"/>
          <w:kern w:val="0"/>
          <w:lang w:eastAsia="it-IT"/>
          <w14:ligatures w14:val="none"/>
        </w:rPr>
        <w:t>ndr</w:t>
      </w:r>
      <w:proofErr w:type="spellEnd"/>
      <w:r w:rsidRPr="00380110">
        <w:rPr>
          <w:rFonts w:ascii="Lato" w:eastAsia="Times New Roman" w:hAnsi="Lato" w:cs="Times New Roman"/>
          <w:color w:val="0C0C0F"/>
          <w:kern w:val="0"/>
          <w:lang w:eastAsia="it-IT"/>
          <w14:ligatures w14:val="none"/>
        </w:rPr>
        <w:t xml:space="preserve">): ogni diversa conclusione risulterebbe del resto in contrasto con gli artt.24 e 25 della Costituzione italiana nonché con l’art.47 della Carta dei diritti fondamentali dell'Unione europea (CDFUE)”; dall’altro, considerando norme e deroghe, “non risulta semplice </w:t>
      </w:r>
      <w:r w:rsidRPr="00380110">
        <w:rPr>
          <w:rFonts w:ascii="Lato" w:eastAsia="Times New Roman" w:hAnsi="Lato" w:cs="Times New Roman"/>
          <w:color w:val="0C0C0F"/>
          <w:kern w:val="0"/>
          <w:lang w:eastAsia="it-IT"/>
          <w14:ligatures w14:val="none"/>
        </w:rPr>
        <w:lastRenderedPageBreak/>
        <w:t xml:space="preserve">individuare le singole attività affidabili ad un sistema di IA nell’ambito della giurisdizione rientranti nell’una o nell’altra categoria. In particolare, la nozione di “compito preparatorio” risulta suscettibile di diverse letture anche in riferimento alla compresenza o meno di verifiche umane, mentre la nozione di “compito procedurale ristretto” potrebbe essere riferita a compiti meramente statistici od organizzativi.  In ogni caso, conclude il documento, </w:t>
      </w:r>
      <w:proofErr w:type="gramStart"/>
      <w:r w:rsidRPr="00380110">
        <w:rPr>
          <w:rFonts w:ascii="Lato" w:eastAsia="Times New Roman" w:hAnsi="Lato" w:cs="Times New Roman"/>
          <w:color w:val="0C0C0F"/>
          <w:kern w:val="0"/>
          <w:lang w:eastAsia="it-IT"/>
          <w14:ligatures w14:val="none"/>
        </w:rPr>
        <w:t>“ è</w:t>
      </w:r>
      <w:proofErr w:type="gramEnd"/>
      <w:r w:rsidRPr="00380110">
        <w:rPr>
          <w:rFonts w:ascii="Lato" w:eastAsia="Times New Roman" w:hAnsi="Lato" w:cs="Times New Roman"/>
          <w:color w:val="0C0C0F"/>
          <w:kern w:val="0"/>
          <w:lang w:eastAsia="it-IT"/>
          <w14:ligatures w14:val="none"/>
        </w:rPr>
        <w:t xml:space="preserve"> poi da osservarsi che le disposizioni derogatrici di cui all’art.6 AI ACT, in quanto appunto derogatrici, devono essere interpretate restrittivamente”.</w:t>
      </w:r>
    </w:p>
    <w:p w14:paraId="5EBF0447" w14:textId="77777777" w:rsidR="00380110" w:rsidRPr="00380110" w:rsidRDefault="00380110" w:rsidP="00380110">
      <w:pPr>
        <w:spacing w:line="360" w:lineRule="auto"/>
        <w:jc w:val="both"/>
        <w:rPr>
          <w:rFonts w:ascii="Lato" w:eastAsia="Times New Roman" w:hAnsi="Lato" w:cs="Times New Roman"/>
          <w:color w:val="0C0C0F"/>
          <w:kern w:val="0"/>
          <w:lang w:eastAsia="it-IT"/>
          <w14:ligatures w14:val="none"/>
        </w:rPr>
      </w:pPr>
      <w:r w:rsidRPr="00380110">
        <w:rPr>
          <w:rFonts w:ascii="Lato" w:eastAsia="Times New Roman" w:hAnsi="Lato" w:cs="Times New Roman"/>
          <w:color w:val="0C0C0F"/>
          <w:kern w:val="0"/>
          <w:lang w:eastAsia="it-IT"/>
          <w14:ligatures w14:val="none"/>
        </w:rPr>
        <w:t xml:space="preserve">Questa difficoltà di identificare in concreto quali attività giurisdizionali supportate da sistemi di AI debbano rientrare nella categoria “ alto rischio” non trova soluzione neanche con il </w:t>
      </w:r>
      <w:proofErr w:type="spellStart"/>
      <w:r w:rsidRPr="00380110">
        <w:rPr>
          <w:rFonts w:ascii="Lato" w:eastAsia="Times New Roman" w:hAnsi="Lato" w:cs="Times New Roman"/>
          <w:color w:val="0C0C0F"/>
          <w:kern w:val="0"/>
          <w:lang w:eastAsia="it-IT"/>
          <w14:ligatures w14:val="none"/>
        </w:rPr>
        <w:t>ddl</w:t>
      </w:r>
      <w:proofErr w:type="spellEnd"/>
      <w:r w:rsidRPr="00380110">
        <w:rPr>
          <w:rFonts w:ascii="Lato" w:eastAsia="Times New Roman" w:hAnsi="Lato" w:cs="Times New Roman"/>
          <w:color w:val="0C0C0F"/>
          <w:kern w:val="0"/>
          <w:lang w:eastAsia="it-IT"/>
          <w14:ligatures w14:val="none"/>
        </w:rPr>
        <w:t xml:space="preserve"> del Governo ora all’esame della Camera: se è vero che il tenore delle norme in itinere conferma la cd “riserva di umanità” rispetto all’attività giurisdizionale (e anche rispetto allo svolgimento di professioni intellettuali), esso nulla aggiunge quanto alla identificazione delle attività ad alto rischio nel settore giustizia.</w:t>
      </w:r>
    </w:p>
    <w:p w14:paraId="611408EF" w14:textId="77777777" w:rsidR="00380110" w:rsidRPr="00380110" w:rsidRDefault="00380110" w:rsidP="00380110">
      <w:pPr>
        <w:spacing w:line="360" w:lineRule="auto"/>
        <w:jc w:val="both"/>
        <w:rPr>
          <w:rFonts w:ascii="Lato" w:eastAsia="Times New Roman" w:hAnsi="Lato" w:cs="Times New Roman"/>
          <w:color w:val="0C0C0F"/>
          <w:kern w:val="0"/>
          <w:lang w:eastAsia="it-IT"/>
          <w14:ligatures w14:val="none"/>
        </w:rPr>
      </w:pPr>
      <w:r w:rsidRPr="00380110">
        <w:rPr>
          <w:rFonts w:ascii="Lato" w:eastAsia="Times New Roman" w:hAnsi="Lato" w:cs="Times New Roman"/>
          <w:color w:val="0C0C0F"/>
          <w:kern w:val="0"/>
          <w:lang w:eastAsia="it-IT"/>
          <w14:ligatures w14:val="none"/>
        </w:rPr>
        <w:t xml:space="preserve">D’altra parte, l’esatta identificazione delle attività giudiziarie che rientrano o meno nella classificazione ad alto rischio non è questione di lana caprina. La qualificazione di un sistema di AI ad alto rischio comporta infatti l’applicazione della complessa disciplina dettata per tali sistemi nel capo III dell’AI ACT, che prevede, tra le altre cose, obblighi specifici quanto alla trasparenza e fornitura di informazioni ai </w:t>
      </w:r>
      <w:proofErr w:type="spellStart"/>
      <w:r w:rsidRPr="00380110">
        <w:rPr>
          <w:rFonts w:ascii="Lato" w:eastAsia="Times New Roman" w:hAnsi="Lato" w:cs="Times New Roman"/>
          <w:color w:val="0C0C0F"/>
          <w:kern w:val="0"/>
          <w:lang w:eastAsia="it-IT"/>
          <w14:ligatures w14:val="none"/>
        </w:rPr>
        <w:t>deployer</w:t>
      </w:r>
      <w:proofErr w:type="spellEnd"/>
      <w:r w:rsidRPr="00380110">
        <w:rPr>
          <w:rFonts w:ascii="Lato" w:eastAsia="Times New Roman" w:hAnsi="Lato" w:cs="Times New Roman"/>
          <w:color w:val="0C0C0F"/>
          <w:kern w:val="0"/>
          <w:lang w:eastAsia="it-IT"/>
          <w14:ligatures w14:val="none"/>
        </w:rPr>
        <w:t>. E il cerchio si chiude.</w:t>
      </w:r>
    </w:p>
    <w:p w14:paraId="3B623682" w14:textId="77777777" w:rsidR="008E2FE0" w:rsidRDefault="008E2FE0" w:rsidP="00380110">
      <w:pPr>
        <w:spacing w:line="360" w:lineRule="auto"/>
        <w:jc w:val="both"/>
      </w:pPr>
    </w:p>
    <w:sectPr w:rsidR="008E2FE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Roboto Slab">
    <w:panose1 w:val="00000000000000000000"/>
    <w:charset w:val="00"/>
    <w:family w:val="auto"/>
    <w:pitch w:val="variable"/>
    <w:sig w:usb0="000004FF" w:usb1="8000405F" w:usb2="00000022" w:usb3="00000000" w:csb0="0000019F" w:csb1="00000000"/>
  </w:font>
  <w:font w:name="Lato">
    <w:panose1 w:val="020F0502020204030203"/>
    <w:charset w:val="00"/>
    <w:family w:val="swiss"/>
    <w:pitch w:val="variable"/>
    <w:sig w:usb0="E10002FF" w:usb1="5000ECFF" w:usb2="00000021"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000DF"/>
    <w:multiLevelType w:val="multilevel"/>
    <w:tmpl w:val="23388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B059A2"/>
    <w:multiLevelType w:val="multilevel"/>
    <w:tmpl w:val="C3FC2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0735003">
    <w:abstractNumId w:val="1"/>
  </w:num>
  <w:num w:numId="2" w16cid:durableId="153568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110"/>
    <w:rsid w:val="00004DD0"/>
    <w:rsid w:val="00380110"/>
    <w:rsid w:val="00654824"/>
    <w:rsid w:val="008E2FE0"/>
    <w:rsid w:val="00FF0F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B2751"/>
  <w15:chartTrackingRefBased/>
  <w15:docId w15:val="{C3D9741E-606E-CB44-AEA6-27C1DE091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801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3801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8011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8011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8011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80110"/>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80110"/>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80110"/>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80110"/>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8011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38011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8011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8011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8011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8011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8011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8011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80110"/>
    <w:rPr>
      <w:rFonts w:eastAsiaTheme="majorEastAsia" w:cstheme="majorBidi"/>
      <w:color w:val="272727" w:themeColor="text1" w:themeTint="D8"/>
    </w:rPr>
  </w:style>
  <w:style w:type="paragraph" w:styleId="Titolo">
    <w:name w:val="Title"/>
    <w:basedOn w:val="Normale"/>
    <w:next w:val="Normale"/>
    <w:link w:val="TitoloCarattere"/>
    <w:uiPriority w:val="10"/>
    <w:qFormat/>
    <w:rsid w:val="00380110"/>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8011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80110"/>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8011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80110"/>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380110"/>
    <w:rPr>
      <w:i/>
      <w:iCs/>
      <w:color w:val="404040" w:themeColor="text1" w:themeTint="BF"/>
    </w:rPr>
  </w:style>
  <w:style w:type="paragraph" w:styleId="Paragrafoelenco">
    <w:name w:val="List Paragraph"/>
    <w:basedOn w:val="Normale"/>
    <w:uiPriority w:val="34"/>
    <w:qFormat/>
    <w:rsid w:val="00380110"/>
    <w:pPr>
      <w:ind w:left="720"/>
      <w:contextualSpacing/>
    </w:pPr>
  </w:style>
  <w:style w:type="character" w:styleId="Enfasiintensa">
    <w:name w:val="Intense Emphasis"/>
    <w:basedOn w:val="Carpredefinitoparagrafo"/>
    <w:uiPriority w:val="21"/>
    <w:qFormat/>
    <w:rsid w:val="00380110"/>
    <w:rPr>
      <w:i/>
      <w:iCs/>
      <w:color w:val="0F4761" w:themeColor="accent1" w:themeShade="BF"/>
    </w:rPr>
  </w:style>
  <w:style w:type="paragraph" w:styleId="Citazioneintensa">
    <w:name w:val="Intense Quote"/>
    <w:basedOn w:val="Normale"/>
    <w:next w:val="Normale"/>
    <w:link w:val="CitazioneintensaCarattere"/>
    <w:uiPriority w:val="30"/>
    <w:qFormat/>
    <w:rsid w:val="003801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80110"/>
    <w:rPr>
      <w:i/>
      <w:iCs/>
      <w:color w:val="0F4761" w:themeColor="accent1" w:themeShade="BF"/>
    </w:rPr>
  </w:style>
  <w:style w:type="character" w:styleId="Riferimentointenso">
    <w:name w:val="Intense Reference"/>
    <w:basedOn w:val="Carpredefinitoparagrafo"/>
    <w:uiPriority w:val="32"/>
    <w:qFormat/>
    <w:rsid w:val="00380110"/>
    <w:rPr>
      <w:b/>
      <w:bCs/>
      <w:smallCaps/>
      <w:color w:val="0F4761" w:themeColor="accent1" w:themeShade="BF"/>
      <w:spacing w:val="5"/>
    </w:rPr>
  </w:style>
  <w:style w:type="character" w:customStyle="1" w:styleId="apple-converted-space">
    <w:name w:val="apple-converted-space"/>
    <w:basedOn w:val="Carpredefinitoparagrafo"/>
    <w:rsid w:val="00380110"/>
  </w:style>
  <w:style w:type="character" w:styleId="Collegamentoipertestuale">
    <w:name w:val="Hyperlink"/>
    <w:basedOn w:val="Carpredefinitoparagrafo"/>
    <w:uiPriority w:val="99"/>
    <w:semiHidden/>
    <w:unhideWhenUsed/>
    <w:rsid w:val="00380110"/>
    <w:rPr>
      <w:color w:val="0000FF"/>
      <w:u w:val="single"/>
    </w:rPr>
  </w:style>
  <w:style w:type="paragraph" w:customStyle="1" w:styleId="article-tools-li-stampa">
    <w:name w:val="article-tools-li-stampa"/>
    <w:basedOn w:val="Normale"/>
    <w:rsid w:val="00380110"/>
    <w:pPr>
      <w:spacing w:before="100" w:beforeAutospacing="1" w:after="100" w:afterAutospacing="1"/>
    </w:pPr>
    <w:rPr>
      <w:rFonts w:ascii="Times New Roman" w:eastAsia="Times New Roman" w:hAnsi="Times New Roman" w:cs="Times New Roman"/>
      <w:kern w:val="0"/>
      <w:lang w:eastAsia="it-IT"/>
      <w14:ligatures w14:val="none"/>
    </w:rPr>
  </w:style>
  <w:style w:type="paragraph" w:customStyle="1" w:styleId="article-tools-li-word">
    <w:name w:val="article-tools-li-word"/>
    <w:basedOn w:val="Normale"/>
    <w:rsid w:val="00380110"/>
    <w:pPr>
      <w:spacing w:before="100" w:beforeAutospacing="1" w:after="100" w:afterAutospacing="1"/>
    </w:pPr>
    <w:rPr>
      <w:rFonts w:ascii="Times New Roman" w:eastAsia="Times New Roman" w:hAnsi="Times New Roman" w:cs="Times New Roman"/>
      <w:kern w:val="0"/>
      <w:lang w:eastAsia="it-IT"/>
      <w14:ligatures w14:val="none"/>
    </w:rPr>
  </w:style>
  <w:style w:type="paragraph" w:customStyle="1" w:styleId="article-tools-li-pdf">
    <w:name w:val="article-tools-li-pdf"/>
    <w:basedOn w:val="Normale"/>
    <w:rsid w:val="00380110"/>
    <w:pPr>
      <w:spacing w:before="100" w:beforeAutospacing="1" w:after="100" w:afterAutospacing="1"/>
    </w:pPr>
    <w:rPr>
      <w:rFonts w:ascii="Times New Roman" w:eastAsia="Times New Roman" w:hAnsi="Times New Roman" w:cs="Times New Roman"/>
      <w:kern w:val="0"/>
      <w:lang w:eastAsia="it-IT"/>
      <w14:ligatures w14:val="none"/>
    </w:rPr>
  </w:style>
  <w:style w:type="paragraph" w:customStyle="1" w:styleId="article-tools-li-facebook">
    <w:name w:val="article-tools-li-facebook"/>
    <w:basedOn w:val="Normale"/>
    <w:rsid w:val="00380110"/>
    <w:pPr>
      <w:spacing w:before="100" w:beforeAutospacing="1" w:after="100" w:afterAutospacing="1"/>
    </w:pPr>
    <w:rPr>
      <w:rFonts w:ascii="Times New Roman" w:eastAsia="Times New Roman" w:hAnsi="Times New Roman" w:cs="Times New Roman"/>
      <w:kern w:val="0"/>
      <w:lang w:eastAsia="it-IT"/>
      <w14:ligatures w14:val="none"/>
    </w:rPr>
  </w:style>
  <w:style w:type="paragraph" w:customStyle="1" w:styleId="article-tools-li-twitter">
    <w:name w:val="article-tools-li-twitter"/>
    <w:basedOn w:val="Normale"/>
    <w:rsid w:val="00380110"/>
    <w:pPr>
      <w:spacing w:before="100" w:beforeAutospacing="1" w:after="100" w:afterAutospacing="1"/>
    </w:pPr>
    <w:rPr>
      <w:rFonts w:ascii="Times New Roman" w:eastAsia="Times New Roman" w:hAnsi="Times New Roman" w:cs="Times New Roman"/>
      <w:kern w:val="0"/>
      <w:lang w:eastAsia="it-IT"/>
      <w14:ligatures w14:val="none"/>
    </w:rPr>
  </w:style>
  <w:style w:type="paragraph" w:customStyle="1" w:styleId="article-tools-li-linkedin">
    <w:name w:val="article-tools-li-linkedin"/>
    <w:basedOn w:val="Normale"/>
    <w:rsid w:val="00380110"/>
    <w:pPr>
      <w:spacing w:before="100" w:beforeAutospacing="1" w:after="100" w:afterAutospacing="1"/>
    </w:pPr>
    <w:rPr>
      <w:rFonts w:ascii="Times New Roman" w:eastAsia="Times New Roman" w:hAnsi="Times New Roman" w:cs="Times New Roman"/>
      <w:kern w:val="0"/>
      <w:lang w:eastAsia="it-IT"/>
      <w14:ligatures w14:val="none"/>
    </w:rPr>
  </w:style>
  <w:style w:type="paragraph" w:customStyle="1" w:styleId="article-tools-li-mail">
    <w:name w:val="article-tools-li-mail"/>
    <w:basedOn w:val="Normale"/>
    <w:rsid w:val="00380110"/>
    <w:pPr>
      <w:spacing w:before="100" w:beforeAutospacing="1" w:after="100" w:afterAutospacing="1"/>
    </w:pPr>
    <w:rPr>
      <w:rFonts w:ascii="Times New Roman" w:eastAsia="Times New Roman" w:hAnsi="Times New Roman" w:cs="Times New Roman"/>
      <w:kern w:val="0"/>
      <w:lang w:eastAsia="it-IT"/>
      <w14:ligatures w14:val="none"/>
    </w:rPr>
  </w:style>
  <w:style w:type="paragraph" w:styleId="NormaleWeb">
    <w:name w:val="Normal (Web)"/>
    <w:basedOn w:val="Normale"/>
    <w:uiPriority w:val="99"/>
    <w:semiHidden/>
    <w:unhideWhenUsed/>
    <w:rsid w:val="00380110"/>
    <w:pPr>
      <w:spacing w:before="100" w:beforeAutospacing="1" w:after="100" w:afterAutospacing="1"/>
    </w:pPr>
    <w:rPr>
      <w:rFonts w:ascii="Times New Roman" w:eastAsia="Times New Roman" w:hAnsi="Times New Roman" w:cs="Times New Roman"/>
      <w:kern w:val="0"/>
      <w:lang w:eastAsia="it-IT"/>
      <w14:ligatures w14:val="none"/>
    </w:rPr>
  </w:style>
  <w:style w:type="character" w:styleId="Enfasicorsivo">
    <w:name w:val="Emphasis"/>
    <w:basedOn w:val="Carpredefinitoparagrafo"/>
    <w:uiPriority w:val="20"/>
    <w:qFormat/>
    <w:rsid w:val="00380110"/>
    <w:rPr>
      <w:i/>
      <w:iCs/>
    </w:rPr>
  </w:style>
  <w:style w:type="character" w:customStyle="1" w:styleId="podcastsbtntooltip">
    <w:name w:val="podcastsbtn__tooltip"/>
    <w:basedOn w:val="Carpredefinitoparagrafo"/>
    <w:rsid w:val="00380110"/>
  </w:style>
  <w:style w:type="character" w:styleId="Enfasigrassetto">
    <w:name w:val="Strong"/>
    <w:basedOn w:val="Carpredefinitoparagrafo"/>
    <w:uiPriority w:val="22"/>
    <w:qFormat/>
    <w:rsid w:val="003801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talex.com/documents/news/2024/02/26/corte-ue-niente-cloud-per-sistemi-intelligenza-artificiale-giudiziari" TargetMode="External"/><Relationship Id="rId3" Type="http://schemas.openxmlformats.org/officeDocument/2006/relationships/settings" Target="settings.xml"/><Relationship Id="rId7" Type="http://schemas.openxmlformats.org/officeDocument/2006/relationships/hyperlink" Target="https://www.altalex.com/documents/news/2025/02/10/intelligenza-artificiale-tutti-sistemi-ai-ministero-giustiz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ltalex.com/documents/2024/07/12/act-guue-tempi-applicazione-nuove-regole-possono-preparare-imprese" TargetMode="External"/><Relationship Id="rId11" Type="http://schemas.openxmlformats.org/officeDocument/2006/relationships/theme" Target="theme/theme1.xml"/><Relationship Id="rId5" Type="http://schemas.openxmlformats.org/officeDocument/2006/relationships/hyperlink" Target="https://www.altalex.com/documents/news/2025/09/08/ai-literacy-formazione-studi-legali-aziend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ltalex.com/documents/news/2024/04/08/intelligenza-artificiale-generativa-giustizia-guida-pratica-7-regole-suo-utilizzo"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2129</Words>
  <Characters>12140</Characters>
  <Application>Microsoft Office Word</Application>
  <DocSecurity>0</DocSecurity>
  <Lines>101</Lines>
  <Paragraphs>28</Paragraphs>
  <ScaleCrop>false</ScaleCrop>
  <Company/>
  <LinksUpToDate>false</LinksUpToDate>
  <CharactersWithSpaces>14241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 LUQUE COLAUTTI</dc:creator>
  <cp:keywords/>
  <dc:description/>
  <cp:lastModifiedBy>ROCIO LUQUE COLAUTTI</cp:lastModifiedBy>
  <cp:revision>1</cp:revision>
  <dcterms:created xsi:type="dcterms:W3CDTF">2025-10-05T10:23:00Z</dcterms:created>
  <dcterms:modified xsi:type="dcterms:W3CDTF">2025-10-05T10:27:00Z</dcterms:modified>
</cp:coreProperties>
</file>