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8C81" w14:textId="77777777" w:rsidR="002B299E" w:rsidRPr="002B299E" w:rsidRDefault="002B299E">
      <w:pPr>
        <w:rPr>
          <w:rFonts w:ascii="Times New Roman" w:hAnsi="Times New Roman" w:cs="Times New Roman"/>
          <w:sz w:val="24"/>
          <w:szCs w:val="24"/>
        </w:rPr>
      </w:pPr>
      <w:r w:rsidRPr="002B299E">
        <w:rPr>
          <w:rFonts w:ascii="Times New Roman" w:hAnsi="Times New Roman" w:cs="Times New Roman"/>
          <w:sz w:val="24"/>
          <w:szCs w:val="24"/>
        </w:rPr>
        <w:t>PRAXISLEITFADEN FÜR DEN KOMBINIERTEN VERKEHR</w:t>
      </w:r>
    </w:p>
    <w:p w14:paraId="3FF3490F" w14:textId="77777777" w:rsidR="002B299E" w:rsidRPr="002B299E" w:rsidRDefault="002B299E">
      <w:pPr>
        <w:rPr>
          <w:rFonts w:ascii="Times New Roman" w:hAnsi="Times New Roman" w:cs="Times New Roman"/>
          <w:sz w:val="24"/>
          <w:szCs w:val="24"/>
        </w:rPr>
      </w:pPr>
    </w:p>
    <w:p w14:paraId="20F26A08" w14:textId="5AD53230" w:rsidR="00C635CB" w:rsidRPr="002B299E" w:rsidRDefault="002B299E">
      <w:pPr>
        <w:rPr>
          <w:rFonts w:ascii="Times New Roman" w:hAnsi="Times New Roman" w:cs="Times New Roman"/>
          <w:sz w:val="24"/>
          <w:szCs w:val="24"/>
        </w:rPr>
      </w:pPr>
      <w:r w:rsidRPr="002B299E">
        <w:rPr>
          <w:rFonts w:ascii="Times New Roman" w:hAnsi="Times New Roman" w:cs="Times New Roman"/>
          <w:sz w:val="24"/>
          <w:szCs w:val="24"/>
        </w:rPr>
        <w:t>WAS IST KOMBINIERTER VERKEHR? KAPITEL 1</w:t>
      </w:r>
    </w:p>
    <w:p w14:paraId="7FAA7B5E" w14:textId="518CCBD5" w:rsidR="002B299E" w:rsidRPr="002B299E" w:rsidRDefault="002B29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Kombinierte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oder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kurz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KV,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verbindet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Stärken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verschiedener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Verkehrsträger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gilt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2B299E">
        <w:rPr>
          <w:rFonts w:ascii="Times New Roman" w:hAnsi="Times New Roman" w:cs="Times New Roman"/>
          <w:sz w:val="24"/>
          <w:szCs w:val="24"/>
        </w:rPr>
        <w:t>Königsdisziplin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des</w:t>
      </w:r>
      <w:proofErr w:type="spellEnd"/>
      <w:proofErr w:type="gram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Güterverkehrssektors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KV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wird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allgemein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folgt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definiert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KV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Teil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„Intermodale[n]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[s], bei dem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überwiegende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Teil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in Europa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zurückgelegten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Strecke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Eisenbahn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dem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Binnen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oder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Seeschiff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bewältigt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- und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Nachlauf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Straße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kurz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möglich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gehalten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299E">
        <w:rPr>
          <w:rFonts w:ascii="Times New Roman" w:hAnsi="Times New Roman" w:cs="Times New Roman"/>
          <w:sz w:val="24"/>
          <w:szCs w:val="24"/>
        </w:rPr>
        <w:t>wird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2B299E">
        <w:rPr>
          <w:rFonts w:ascii="Times New Roman" w:hAnsi="Times New Roman" w:cs="Times New Roman"/>
          <w:sz w:val="24"/>
          <w:szCs w:val="24"/>
        </w:rPr>
        <w:t xml:space="preserve"> (UN/ECE,2001) In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Praxis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wird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KV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Bezeichnung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Intermodaler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299E">
        <w:rPr>
          <w:rFonts w:ascii="Times New Roman" w:hAnsi="Times New Roman" w:cs="Times New Roman"/>
          <w:sz w:val="24"/>
          <w:szCs w:val="24"/>
        </w:rPr>
        <w:t>Verkehr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häufig</w:t>
      </w:r>
      <w:proofErr w:type="spellEnd"/>
      <w:proofErr w:type="gram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synonym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verwendet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Es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gibt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zahlreiche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weitere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Definitionen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übereinstimmende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Merkmale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KV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sind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>:</w:t>
      </w:r>
    </w:p>
    <w:p w14:paraId="12A4F4BF" w14:textId="77777777" w:rsidR="002B299E" w:rsidRPr="002B299E" w:rsidRDefault="002B299E">
      <w:pPr>
        <w:rPr>
          <w:rFonts w:ascii="Times New Roman" w:hAnsi="Times New Roman" w:cs="Times New Roman"/>
          <w:sz w:val="24"/>
          <w:szCs w:val="24"/>
        </w:rPr>
      </w:pPr>
    </w:p>
    <w:p w14:paraId="610BF404" w14:textId="77777777" w:rsidR="002B299E" w:rsidRPr="002B299E" w:rsidRDefault="002B299E">
      <w:pPr>
        <w:rPr>
          <w:rFonts w:ascii="Times New Roman" w:hAnsi="Times New Roman" w:cs="Times New Roman"/>
          <w:sz w:val="24"/>
          <w:szCs w:val="24"/>
        </w:rPr>
      </w:pPr>
      <w:r w:rsidRPr="002B299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Mehrgliedrige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Transportkette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Haupt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und/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oder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Nachlauf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6DC28" w14:textId="77777777" w:rsidR="002B299E" w:rsidRPr="002B299E" w:rsidRDefault="002B299E">
      <w:pPr>
        <w:rPr>
          <w:rFonts w:ascii="Times New Roman" w:hAnsi="Times New Roman" w:cs="Times New Roman"/>
          <w:sz w:val="24"/>
          <w:szCs w:val="24"/>
        </w:rPr>
      </w:pPr>
      <w:r w:rsidRPr="002B299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Nutzung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standardisierter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Ladeeinheiten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(Container,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Wechselbehälter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Trailer,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Lkw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77918BA" w14:textId="627E0E05" w:rsidR="002B299E" w:rsidRPr="002B299E" w:rsidRDefault="002B299E" w:rsidP="002B299E">
      <w:pPr>
        <w:rPr>
          <w:rFonts w:ascii="Times New Roman" w:hAnsi="Times New Roman" w:cs="Times New Roman"/>
          <w:sz w:val="24"/>
          <w:szCs w:val="24"/>
        </w:rPr>
      </w:pPr>
      <w:r w:rsidRPr="002B299E">
        <w:rPr>
          <w:rFonts w:ascii="Times New Roman" w:hAnsi="Times New Roman" w:cs="Times New Roman"/>
          <w:sz w:val="24"/>
          <w:szCs w:val="24"/>
        </w:rPr>
        <w:t xml:space="preserve">. • Terminal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Systemschnittstelle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Umschlagprozesse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Ladeeinheiten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Verkehrsträgerwechsel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(Schiene,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Wasserstraße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Straße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FBA468A" w14:textId="6BB66EA2" w:rsidR="002B299E" w:rsidRPr="002B299E" w:rsidRDefault="002B299E" w:rsidP="002B299E">
      <w:pPr>
        <w:rPr>
          <w:rFonts w:ascii="Times New Roman" w:hAnsi="Times New Roman" w:cs="Times New Roman"/>
          <w:sz w:val="24"/>
          <w:szCs w:val="24"/>
        </w:rPr>
      </w:pPr>
      <w:r w:rsidRPr="002B299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Mengenbündelung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durch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Nutzung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Massentransportmitteln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Hauptlauf</w:t>
      </w:r>
      <w:proofErr w:type="spellEnd"/>
    </w:p>
    <w:p w14:paraId="579B0D22" w14:textId="77777777" w:rsidR="002B299E" w:rsidRPr="002B299E" w:rsidRDefault="002B299E">
      <w:pPr>
        <w:rPr>
          <w:rFonts w:ascii="Times New Roman" w:hAnsi="Times New Roman" w:cs="Times New Roman"/>
          <w:sz w:val="24"/>
          <w:szCs w:val="24"/>
        </w:rPr>
      </w:pPr>
    </w:p>
    <w:p w14:paraId="1249765E" w14:textId="4AE4F429" w:rsidR="002B299E" w:rsidRPr="002B299E" w:rsidRDefault="002B29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Kombinierte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zeichnet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durch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mehrgliedrige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Transportkette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welche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üblicherweise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einem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Haupt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- und/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oder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Nachlauf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zusammensetzt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Charakteristisch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bildet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Hauptlauf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längsten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Transportabschnitt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welcher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Eisenbahn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oder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Binnenschiff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zurückgelegt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wird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- und/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oder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Nachlauf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Kombinierten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wird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Lkw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durchgeführt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Ladeeinheit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Güter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transportiert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werden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bleibt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während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gesamten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Transports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Versender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bis zum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Endkunden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geschlossen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Lediglich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Zollbehörden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vorbehalten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Rahmen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einer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Prüfung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Ladeeinheiten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öffnen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sogenannte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Terminal (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KV-Terminal, Hinterland-Terminal,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Umschlaganlage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Umschlagbahnhof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genannt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bildet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Schnittstelle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zwischen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Transportabschnitten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Hier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findet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Umschlag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Ladeeinheiten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Wechsel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Verkehrsträgers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statt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>.</w:t>
      </w:r>
    </w:p>
    <w:p w14:paraId="64DDC304" w14:textId="77777777" w:rsidR="002B299E" w:rsidRPr="002B299E" w:rsidRDefault="002B299E">
      <w:pPr>
        <w:rPr>
          <w:rFonts w:ascii="Times New Roman" w:hAnsi="Times New Roman" w:cs="Times New Roman"/>
          <w:sz w:val="24"/>
          <w:szCs w:val="24"/>
        </w:rPr>
      </w:pPr>
    </w:p>
    <w:p w14:paraId="5B6EB3E0" w14:textId="38CE65F9" w:rsidR="002B299E" w:rsidRPr="002B299E" w:rsidRDefault="002B29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Kombinierte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lässt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zwei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bedeutende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Märkte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gliedern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>:</w:t>
      </w:r>
    </w:p>
    <w:p w14:paraId="69A3AEA9" w14:textId="77777777" w:rsidR="002B299E" w:rsidRDefault="002B29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Seehafenhinterlandverkehr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CD408" w14:textId="77777777" w:rsidR="002B299E" w:rsidRDefault="002B29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Seehafenhinterlandverkehr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oder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häufig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maritimer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genannt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umfasst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- und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ausgehenden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von/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wichtigsten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Seehäfen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Charakteristisch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Hinterlandverkehr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Transport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standardisierten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ISO-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Containern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Dieser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konzentriert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überwiegend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die Nord-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Süd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Achse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Europas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bedient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Hinterland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Seehäfen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Niederlanden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Belgien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und Deutschland bis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Mittelmeerhäfen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sowie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Häfen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Schwarzen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Meeres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Bei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Überseetransporten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Kombinierte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gegenwärtig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dominierende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Transportart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bezüglich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Containerverkehren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Stückgütern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diese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Mengen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nehmen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ca.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zwei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Drittel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KV-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Marktes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9C3ADA" w14:textId="77777777" w:rsidR="002B299E" w:rsidRDefault="002B29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Kontinentalverkehr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12A05" w14:textId="10D5E251" w:rsidR="002B299E" w:rsidRPr="002B299E" w:rsidRDefault="002B29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299E">
        <w:rPr>
          <w:rFonts w:ascii="Times New Roman" w:hAnsi="Times New Roman" w:cs="Times New Roman"/>
          <w:sz w:val="24"/>
          <w:szCs w:val="24"/>
        </w:rPr>
        <w:lastRenderedPageBreak/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zweite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wichtige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Markt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kontinentalen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ausgerichtet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dementsprechend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werden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Güterinnerhalb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eines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Kontinents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transportiert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In Europa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findet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Beförderung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Güter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primär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in Nord-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Süd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- und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Ost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West-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Richtung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unbegleiteten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KV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statt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d.h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es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werden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ausschließlich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Ladeeinheiten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selbst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transportiert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ohne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begleitendes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Fahrpersonal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Abwicklung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Hauptlaufs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erfolgt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hauptsächlich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über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die Schiene.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Wichtige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Wasserstraßen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Hauptlauf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Binnenschiff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sind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Rhein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und Donau.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Kontinentalverkehr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nimmt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ca.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Drittel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Transportmengen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europäischen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KV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Charakteristisch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Kontinentalverkehr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Transport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ISO-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genormten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Containern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(Bulk-/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Tankcontainern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seltener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Kühlcontainern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Wechselbehältern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Wechselbrücken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Wechselaufbauten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Wechselkoffer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oder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Swap Body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genannt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sowie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Trailern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Sattelauflieger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Sattelzuganhänger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Sattelanhänger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genannt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>)</w:t>
      </w:r>
      <w:r w:rsidRPr="002B299E">
        <w:rPr>
          <w:rFonts w:ascii="Times New Roman" w:hAnsi="Times New Roman" w:cs="Times New Roman"/>
          <w:sz w:val="24"/>
          <w:szCs w:val="24"/>
        </w:rPr>
        <w:t>.</w:t>
      </w:r>
    </w:p>
    <w:p w14:paraId="2F7577AD" w14:textId="77777777" w:rsidR="002B299E" w:rsidRPr="002B299E" w:rsidRDefault="002B299E">
      <w:pPr>
        <w:rPr>
          <w:rFonts w:ascii="Times New Roman" w:hAnsi="Times New Roman" w:cs="Times New Roman"/>
          <w:sz w:val="24"/>
          <w:szCs w:val="24"/>
        </w:rPr>
      </w:pPr>
    </w:p>
    <w:p w14:paraId="5FCA6AB6" w14:textId="77777777" w:rsidR="002B299E" w:rsidRDefault="002B29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299E">
        <w:rPr>
          <w:rFonts w:ascii="Times New Roman" w:hAnsi="Times New Roman" w:cs="Times New Roman"/>
          <w:sz w:val="24"/>
          <w:szCs w:val="24"/>
        </w:rPr>
        <w:t>Ladeeinheiten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B76AD" w14:textId="77777777" w:rsidR="002B299E" w:rsidRDefault="002B299E">
      <w:pPr>
        <w:rPr>
          <w:rFonts w:ascii="Times New Roman" w:hAnsi="Times New Roman" w:cs="Times New Roman"/>
          <w:sz w:val="24"/>
          <w:szCs w:val="24"/>
        </w:rPr>
      </w:pPr>
      <w:r w:rsidRPr="002B299E">
        <w:rPr>
          <w:rFonts w:ascii="Times New Roman" w:hAnsi="Times New Roman" w:cs="Times New Roman"/>
          <w:sz w:val="24"/>
          <w:szCs w:val="24"/>
        </w:rPr>
        <w:t>Standard-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Ladeeinheiten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(LE)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Kombinierten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erfüllen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folgende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(n)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zentrale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(n)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Zweck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Funktion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5CE4A5" w14:textId="77777777" w:rsidR="002B299E" w:rsidRDefault="002B299E">
      <w:pPr>
        <w:rPr>
          <w:rFonts w:ascii="Times New Roman" w:hAnsi="Times New Roman" w:cs="Times New Roman"/>
          <w:sz w:val="24"/>
          <w:szCs w:val="24"/>
        </w:rPr>
      </w:pPr>
      <w:r w:rsidRPr="002B299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Ladeeinheiten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sind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Transportbehälter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denen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Güter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gepackt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darin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transportiert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anschließend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daraus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entpackt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werden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52C273" w14:textId="77777777" w:rsidR="002B299E" w:rsidRDefault="002B299E">
      <w:pPr>
        <w:rPr>
          <w:rFonts w:ascii="Times New Roman" w:hAnsi="Times New Roman" w:cs="Times New Roman"/>
          <w:sz w:val="24"/>
          <w:szCs w:val="24"/>
        </w:rPr>
      </w:pPr>
      <w:r w:rsidRPr="002B299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schützen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Güter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während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gesamten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Transports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u.a.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Umwelteinflüssen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96C485" w14:textId="1FBC854E" w:rsidR="002B299E" w:rsidRPr="002B299E" w:rsidRDefault="002B299E">
      <w:pPr>
        <w:rPr>
          <w:rFonts w:ascii="Times New Roman" w:hAnsi="Times New Roman" w:cs="Times New Roman"/>
          <w:sz w:val="24"/>
          <w:szCs w:val="24"/>
        </w:rPr>
      </w:pPr>
      <w:r w:rsidRPr="002B299E">
        <w:rPr>
          <w:rFonts w:ascii="Times New Roman" w:hAnsi="Times New Roman" w:cs="Times New Roman"/>
          <w:sz w:val="24"/>
          <w:szCs w:val="24"/>
        </w:rPr>
        <w:t xml:space="preserve">•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Behältnisse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sind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technisch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konzipiert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dass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mittels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konventioneller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Umschlaggeräte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Kombinierten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insbesondere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Portalkran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Reachstacker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) von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einem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Verkehrsträger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einen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anderen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umgeschlagen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werden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können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>.</w:t>
      </w:r>
    </w:p>
    <w:p w14:paraId="69AF9249" w14:textId="3F5FDF07" w:rsidR="002B299E" w:rsidRPr="002B299E" w:rsidRDefault="002B299E">
      <w:pPr>
        <w:rPr>
          <w:rFonts w:ascii="Times New Roman" w:hAnsi="Times New Roman" w:cs="Times New Roman"/>
          <w:sz w:val="24"/>
          <w:szCs w:val="24"/>
        </w:rPr>
      </w:pPr>
      <w:r w:rsidRPr="002B299E">
        <w:rPr>
          <w:rFonts w:ascii="Times New Roman" w:hAnsi="Times New Roman" w:cs="Times New Roman"/>
          <w:sz w:val="24"/>
          <w:szCs w:val="24"/>
        </w:rPr>
        <w:t xml:space="preserve">Die Standard-LE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KV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bilden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Container,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Wechselbehälter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Wechselbrücken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Wechselaufbau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engl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Swap Bodies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genannt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>), Trailer (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Sattelauflieger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Sattelzug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anhänger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Sattelanhänger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genannt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sowie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komplette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Lkw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RoRo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RoLa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).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bekannteste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gebräuchlichste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KV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Container.</w:t>
      </w:r>
    </w:p>
    <w:p w14:paraId="48C55CE6" w14:textId="393F3E6F" w:rsidR="002B299E" w:rsidRPr="002B299E" w:rsidRDefault="002B299E">
      <w:pPr>
        <w:rPr>
          <w:rFonts w:ascii="Times New Roman" w:hAnsi="Times New Roman" w:cs="Times New Roman"/>
          <w:sz w:val="24"/>
          <w:szCs w:val="24"/>
        </w:rPr>
      </w:pPr>
      <w:r w:rsidRPr="002B299E">
        <w:rPr>
          <w:rFonts w:ascii="Times New Roman" w:hAnsi="Times New Roman" w:cs="Times New Roman"/>
          <w:sz w:val="24"/>
          <w:szCs w:val="24"/>
        </w:rPr>
        <w:t xml:space="preserve">Im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Zuge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diverser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Innovationen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Verkehrsträgern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ha ben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unterschiedliche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Typen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von LE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herausgebildet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ebenso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spezifische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Umschlagsysteme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an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jeweiligen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Voraussetzungen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Bedingungen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angepasst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haben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Gleichzeitig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setzten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Vereinheitlichungen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sowie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Normierungen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hinsichtlich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Abmessung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Gewicht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Ausstattung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aufgrund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eingesetzten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Containerschiffe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internationalen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bzw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interkontinentalen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Seeverkehr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durch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. Die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Vorteile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standardisierter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genormter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sind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wirtschaftlicher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Umschlag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einfaches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Handling,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bessere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Raumnutzung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leichtere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Lagerung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bessere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Erfassungsmöglichkeit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Informationen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Statistiken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sowie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Abrechnungen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>.</w:t>
      </w:r>
    </w:p>
    <w:p w14:paraId="2F63337B" w14:textId="77777777" w:rsidR="002B299E" w:rsidRPr="002B299E" w:rsidRDefault="002B299E">
      <w:pPr>
        <w:rPr>
          <w:rFonts w:ascii="Times New Roman" w:hAnsi="Times New Roman" w:cs="Times New Roman"/>
          <w:sz w:val="24"/>
          <w:szCs w:val="24"/>
        </w:rPr>
      </w:pPr>
    </w:p>
    <w:p w14:paraId="1650F508" w14:textId="4A4AF5A6" w:rsidR="002B299E" w:rsidRPr="002B299E" w:rsidRDefault="002B29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konventionelle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klassische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Umschlag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von LE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erfolgt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Seehäfen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über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Containerbrücken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Ship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>-to-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Shore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Cranes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-STS)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sowie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Binnenterminals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über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vorrangig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schienengeführte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aber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reifengeführte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Portalkräne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Rail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Mounted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Gantry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Cranes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-RMG und Rubber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Tired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Gantry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Cranes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-RTG).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Insbesondere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kleinere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Binnenterminals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nutzen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ausschließlich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Reachstacker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Umschlag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von LE.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Beim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Umschlag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wechselt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die LE von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einem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Verkehrsträger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einen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anderen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oder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wird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Terminal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zwischenabgestellt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, bis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entsprechende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Verkehrsmittel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die LE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Weitertransport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9E">
        <w:rPr>
          <w:rFonts w:ascii="Times New Roman" w:hAnsi="Times New Roman" w:cs="Times New Roman"/>
          <w:sz w:val="24"/>
          <w:szCs w:val="24"/>
        </w:rPr>
        <w:t>abholt</w:t>
      </w:r>
      <w:proofErr w:type="spellEnd"/>
      <w:r w:rsidRPr="002B299E">
        <w:rPr>
          <w:rFonts w:ascii="Times New Roman" w:hAnsi="Times New Roman" w:cs="Times New Roman"/>
          <w:sz w:val="24"/>
          <w:szCs w:val="24"/>
        </w:rPr>
        <w:t>.</w:t>
      </w:r>
    </w:p>
    <w:sectPr w:rsidR="002B299E" w:rsidRPr="002B29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9E"/>
    <w:rsid w:val="002B299E"/>
    <w:rsid w:val="003F49F5"/>
    <w:rsid w:val="0050645B"/>
    <w:rsid w:val="005A7C25"/>
    <w:rsid w:val="008A5150"/>
    <w:rsid w:val="00C635CB"/>
    <w:rsid w:val="00F9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D9AA"/>
  <w15:chartTrackingRefBased/>
  <w15:docId w15:val="{22F3E75E-48DB-4C93-A075-F5FE1646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2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2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2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2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2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2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2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2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2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2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2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2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29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29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29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29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29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29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2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2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2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2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2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29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29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29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2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29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29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Autore</cp:lastModifiedBy>
  <cp:revision>2</cp:revision>
  <dcterms:created xsi:type="dcterms:W3CDTF">2025-12-11T17:47:00Z</dcterms:created>
  <dcterms:modified xsi:type="dcterms:W3CDTF">2025-12-11T17:59:00Z</dcterms:modified>
</cp:coreProperties>
</file>