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C376F" w14:textId="77777777" w:rsidR="00FE7C0D" w:rsidRPr="00FE7C0D" w:rsidRDefault="00FE7C0D" w:rsidP="00FE7C0D">
      <w:pPr>
        <w:rPr>
          <w:rFonts w:ascii="Times New Roman" w:eastAsia="Times New Roman" w:hAnsi="Times New Roman" w:cs="Times New Roman"/>
          <w:kern w:val="0"/>
          <w:lang w:eastAsia="it-IT"/>
          <w14:ligatures w14:val="none"/>
        </w:rPr>
      </w:pPr>
      <w:r w:rsidRPr="00FE7C0D">
        <w:rPr>
          <w:rFonts w:ascii="Times New Roman" w:eastAsia="Times New Roman" w:hAnsi="Times New Roman" w:cs="Times New Roman"/>
          <w:b/>
          <w:bCs/>
          <w:caps/>
          <w:color w:val="1E5192"/>
          <w:kern w:val="0"/>
          <w:lang w:eastAsia="it-IT"/>
          <w14:ligatures w14:val="none"/>
        </w:rPr>
        <w:t>IP, IT E DATA PROTECTION</w:t>
      </w:r>
    </w:p>
    <w:p w14:paraId="5CA798A8" w14:textId="77777777" w:rsidR="00FE7C0D" w:rsidRPr="00FE7C0D" w:rsidRDefault="00FE7C0D" w:rsidP="00FE7C0D">
      <w:pPr>
        <w:spacing w:before="100" w:beforeAutospacing="1" w:after="100" w:afterAutospacing="1"/>
        <w:outlineLvl w:val="0"/>
        <w:rPr>
          <w:rFonts w:ascii="Roboto Slab" w:eastAsia="Times New Roman" w:hAnsi="Roboto Slab" w:cs="Roboto Slab"/>
          <w:b/>
          <w:bCs/>
          <w:color w:val="0C0C0F"/>
          <w:kern w:val="36"/>
          <w:sz w:val="48"/>
          <w:szCs w:val="48"/>
          <w:lang w:eastAsia="it-IT"/>
          <w14:ligatures w14:val="none"/>
        </w:rPr>
      </w:pPr>
      <w:r w:rsidRPr="00FE7C0D">
        <w:rPr>
          <w:rFonts w:ascii="Roboto Slab" w:eastAsia="Times New Roman" w:hAnsi="Roboto Slab" w:cs="Roboto Slab"/>
          <w:b/>
          <w:bCs/>
          <w:color w:val="0C0C0F"/>
          <w:kern w:val="36"/>
          <w:sz w:val="48"/>
          <w:szCs w:val="48"/>
          <w:lang w:eastAsia="it-IT"/>
          <w14:ligatures w14:val="none"/>
        </w:rPr>
        <w:t>Intelligenza artificiale e diritto penale: le disposizioni speciali del Ddl AI</w:t>
      </w:r>
    </w:p>
    <w:p w14:paraId="24983E1F" w14:textId="77777777" w:rsidR="00FE7C0D" w:rsidRPr="00FE7C0D" w:rsidRDefault="00FE7C0D" w:rsidP="00FE7C0D">
      <w:pPr>
        <w:rPr>
          <w:rFonts w:ascii="Times New Roman" w:eastAsia="Times New Roman" w:hAnsi="Times New Roman" w:cs="Times New Roman"/>
          <w:color w:val="0C0C0F"/>
          <w:kern w:val="0"/>
          <w:lang w:eastAsia="it-IT"/>
          <w14:ligatures w14:val="none"/>
        </w:rPr>
      </w:pPr>
      <w:r w:rsidRPr="00FE7C0D">
        <w:rPr>
          <w:rFonts w:ascii="Times New Roman" w:eastAsia="Times New Roman" w:hAnsi="Times New Roman" w:cs="Times New Roman"/>
          <w:color w:val="0C0C0F"/>
          <w:kern w:val="0"/>
          <w:lang w:eastAsia="it-IT"/>
          <w14:ligatures w14:val="none"/>
        </w:rPr>
        <w:t>Gli interventi del disegno di legge riguardanti i singoli reati e le modifiche che impattano direttamente fattispecie delittuose preesistenti</w:t>
      </w:r>
    </w:p>
    <w:p w14:paraId="69DD77F4" w14:textId="77777777" w:rsidR="00FE7C0D" w:rsidRDefault="00FE7C0D" w:rsidP="00FE7C0D">
      <w:pPr>
        <w:rPr>
          <w:rFonts w:ascii="Lato" w:eastAsia="Times New Roman" w:hAnsi="Lato" w:cs="Times New Roman"/>
          <w:color w:val="0C0C0F"/>
          <w:kern w:val="0"/>
          <w:lang w:eastAsia="it-IT"/>
          <w14:ligatures w14:val="none"/>
        </w:rPr>
      </w:pPr>
    </w:p>
    <w:p w14:paraId="6C696A0E" w14:textId="78297795" w:rsidR="00FE7C0D" w:rsidRPr="00FE7C0D" w:rsidRDefault="00FE7C0D" w:rsidP="00FE7C0D">
      <w:pPr>
        <w:rPr>
          <w:rFonts w:ascii="Lato" w:eastAsia="Times New Roman" w:hAnsi="Lato" w:cs="Times New Roman"/>
          <w:b/>
          <w:bCs/>
          <w:color w:val="0C0C0F"/>
          <w:kern w:val="0"/>
          <w:lang w:eastAsia="it-IT"/>
          <w14:ligatures w14:val="none"/>
        </w:rPr>
      </w:pPr>
      <w:r w:rsidRPr="00FE7C0D">
        <w:rPr>
          <w:rFonts w:ascii="Lato" w:eastAsia="Times New Roman" w:hAnsi="Lato" w:cs="Times New Roman"/>
          <w:b/>
          <w:bCs/>
          <w:color w:val="0C0C0F"/>
          <w:kern w:val="0"/>
          <w:lang w:eastAsia="it-IT"/>
          <w14:ligatures w14:val="none"/>
        </w:rPr>
        <w:t>Di </w:t>
      </w:r>
      <w:r w:rsidRPr="00FE7C0D">
        <w:rPr>
          <w:rFonts w:ascii="Lato" w:eastAsia="Times New Roman" w:hAnsi="Lato" w:cs="Times New Roman"/>
          <w:b/>
          <w:bCs/>
          <w:color w:val="1E5192"/>
          <w:kern w:val="0"/>
          <w:lang w:eastAsia="it-IT"/>
          <w14:ligatures w14:val="none"/>
        </w:rPr>
        <w:t>Nicolò Ferraris</w:t>
      </w:r>
    </w:p>
    <w:p w14:paraId="23168C01" w14:textId="77777777" w:rsidR="00FE7C0D" w:rsidRPr="00FE7C0D" w:rsidRDefault="00FE7C0D" w:rsidP="00FE7C0D">
      <w:pPr>
        <w:rPr>
          <w:rFonts w:ascii="Lato" w:eastAsia="Times New Roman" w:hAnsi="Lato" w:cs="Times New Roman"/>
          <w:color w:val="0C0C0F"/>
          <w:kern w:val="0"/>
          <w:lang w:eastAsia="it-IT"/>
          <w14:ligatures w14:val="none"/>
        </w:rPr>
      </w:pPr>
      <w:r w:rsidRPr="00FE7C0D">
        <w:rPr>
          <w:rFonts w:ascii="Lato" w:eastAsia="Times New Roman" w:hAnsi="Lato" w:cs="Times New Roman"/>
          <w:color w:val="0C0C0F"/>
          <w:kern w:val="0"/>
          <w:lang w:eastAsia="it-IT"/>
          <w14:ligatures w14:val="none"/>
        </w:rPr>
        <w:t>Avvocato</w:t>
      </w:r>
    </w:p>
    <w:p w14:paraId="3305D203" w14:textId="77777777" w:rsidR="00FE7C0D" w:rsidRPr="00FE7C0D" w:rsidRDefault="00FE7C0D" w:rsidP="00FE7C0D">
      <w:pPr>
        <w:jc w:val="right"/>
        <w:rPr>
          <w:rFonts w:ascii="Roboto Slab" w:eastAsia="Times New Roman" w:hAnsi="Roboto Slab" w:cs="Roboto Slab"/>
          <w:color w:val="5E5E5E"/>
          <w:kern w:val="0"/>
          <w:lang w:eastAsia="it-IT"/>
          <w14:ligatures w14:val="none"/>
        </w:rPr>
      </w:pPr>
      <w:r w:rsidRPr="00FE7C0D">
        <w:rPr>
          <w:rFonts w:ascii="Roboto Slab" w:eastAsia="Times New Roman" w:hAnsi="Roboto Slab" w:cs="Roboto Slab"/>
          <w:color w:val="5E5E5E"/>
          <w:kern w:val="0"/>
          <w:lang w:eastAsia="it-IT"/>
          <w14:ligatures w14:val="none"/>
        </w:rPr>
        <w:t>Pubblicato il 23/09/2025</w:t>
      </w:r>
    </w:p>
    <w:p w14:paraId="6DAFAE35" w14:textId="77777777" w:rsidR="00FE7C0D" w:rsidRDefault="00FE7C0D" w:rsidP="00FE7C0D">
      <w:pPr>
        <w:spacing w:line="360" w:lineRule="auto"/>
        <w:jc w:val="both"/>
        <w:rPr>
          <w:rFonts w:ascii="Lato" w:eastAsia="Times New Roman" w:hAnsi="Lato" w:cs="Times New Roman"/>
          <w:color w:val="0C0C0F"/>
          <w:kern w:val="0"/>
          <w:lang w:eastAsia="it-IT"/>
          <w14:ligatures w14:val="none"/>
        </w:rPr>
      </w:pPr>
    </w:p>
    <w:p w14:paraId="7C24471D" w14:textId="7314528C" w:rsidR="00FE7C0D" w:rsidRPr="00FE7C0D" w:rsidRDefault="00FE7C0D" w:rsidP="00FE7C0D">
      <w:pPr>
        <w:spacing w:line="360" w:lineRule="auto"/>
        <w:jc w:val="both"/>
        <w:rPr>
          <w:rFonts w:ascii="Lato" w:eastAsia="Times New Roman" w:hAnsi="Lato" w:cs="Times New Roman"/>
          <w:color w:val="0C0C0F"/>
          <w:kern w:val="0"/>
          <w:lang w:eastAsia="it-IT"/>
          <w14:ligatures w14:val="none"/>
        </w:rPr>
      </w:pPr>
      <w:r w:rsidRPr="00FE7C0D">
        <w:rPr>
          <w:rFonts w:ascii="Lato" w:eastAsia="Times New Roman" w:hAnsi="Lato" w:cs="Times New Roman"/>
          <w:color w:val="0C0C0F"/>
          <w:kern w:val="0"/>
          <w:lang w:eastAsia="it-IT"/>
          <w14:ligatures w14:val="none"/>
        </w:rPr>
        <w:t>Dopo aver esaminato il dibattito sulle profonde </w:t>
      </w:r>
      <w:hyperlink r:id="rId5" w:history="1">
        <w:r w:rsidRPr="00FE7C0D">
          <w:rPr>
            <w:rFonts w:ascii="Lato" w:eastAsia="Times New Roman" w:hAnsi="Lato" w:cs="Times New Roman"/>
            <w:b/>
            <w:bCs/>
            <w:color w:val="1E5192"/>
            <w:kern w:val="0"/>
            <w:u w:val="single"/>
            <w:lang w:eastAsia="it-IT"/>
            <w14:ligatures w14:val="none"/>
          </w:rPr>
          <w:t>implicazioni dell'intelligenza artificiale sul diritto penale</w:t>
        </w:r>
      </w:hyperlink>
      <w:r w:rsidRPr="00FE7C0D">
        <w:rPr>
          <w:rFonts w:ascii="Lato" w:eastAsia="Times New Roman" w:hAnsi="Lato" w:cs="Times New Roman"/>
          <w:color w:val="0C0C0F"/>
          <w:kern w:val="0"/>
          <w:lang w:eastAsia="it-IT"/>
          <w14:ligatures w14:val="none"/>
        </w:rPr>
        <w:t>, abbiamo verificato che il DDL sull’IA conferma – e non poteva essere diversamente – la possibilità di individuare elementi di responsabilità personale e colpevole, quindi di rilevanza penale soltanto nell’agire umano.</w:t>
      </w:r>
    </w:p>
    <w:p w14:paraId="16C915E1" w14:textId="77777777" w:rsidR="00FE7C0D" w:rsidRPr="00FE7C0D" w:rsidRDefault="00FE7C0D" w:rsidP="00FE7C0D">
      <w:pPr>
        <w:spacing w:line="360" w:lineRule="auto"/>
        <w:jc w:val="both"/>
        <w:rPr>
          <w:rFonts w:ascii="Lato" w:eastAsia="Times New Roman" w:hAnsi="Lato" w:cs="Times New Roman"/>
          <w:color w:val="0C0C0F"/>
          <w:kern w:val="0"/>
          <w:lang w:eastAsia="it-IT"/>
          <w14:ligatures w14:val="none"/>
        </w:rPr>
      </w:pPr>
      <w:r w:rsidRPr="00FE7C0D">
        <w:rPr>
          <w:rFonts w:ascii="Lato" w:eastAsia="Times New Roman" w:hAnsi="Lato" w:cs="Times New Roman"/>
          <w:color w:val="0C0C0F"/>
          <w:kern w:val="0"/>
          <w:lang w:eastAsia="it-IT"/>
          <w14:ligatures w14:val="none"/>
        </w:rPr>
        <w:t>Al tempo stesso, abbiamo visto che </w:t>
      </w:r>
      <w:hyperlink r:id="rId6" w:history="1">
        <w:r w:rsidRPr="00FE7C0D">
          <w:rPr>
            <w:rFonts w:ascii="Lato" w:eastAsia="Times New Roman" w:hAnsi="Lato" w:cs="Times New Roman"/>
            <w:b/>
            <w:bCs/>
            <w:color w:val="1E5192"/>
            <w:kern w:val="0"/>
            <w:u w:val="single"/>
            <w:lang w:eastAsia="it-IT"/>
            <w14:ligatures w14:val="none"/>
          </w:rPr>
          <w:t>il legislatore registra la peculiare pericolosità derivante dall'utilizzo di tali sistemi avanzati</w:t>
        </w:r>
      </w:hyperlink>
      <w:r w:rsidRPr="00FE7C0D">
        <w:rPr>
          <w:rFonts w:ascii="Lato" w:eastAsia="Times New Roman" w:hAnsi="Lato" w:cs="Times New Roman"/>
          <w:color w:val="0C0C0F"/>
          <w:kern w:val="0"/>
          <w:lang w:eastAsia="it-IT"/>
          <w14:ligatures w14:val="none"/>
        </w:rPr>
        <w:t>, e prevede l'introduzione di una nuova circostanza aggravante comune (</w:t>
      </w:r>
      <w:hyperlink r:id="rId7" w:anchor="art61" w:history="1">
        <w:r w:rsidRPr="00FE7C0D">
          <w:rPr>
            <w:rFonts w:ascii="Lato" w:eastAsia="Times New Roman" w:hAnsi="Lato" w:cs="Times New Roman"/>
            <w:b/>
            <w:bCs/>
            <w:color w:val="1E5192"/>
            <w:kern w:val="0"/>
            <w:u w:val="single"/>
            <w:lang w:eastAsia="it-IT"/>
            <w14:ligatures w14:val="none"/>
          </w:rPr>
          <w:t>art. 61 n. 11-decies c.p.</w:t>
        </w:r>
      </w:hyperlink>
      <w:r w:rsidRPr="00FE7C0D">
        <w:rPr>
          <w:rFonts w:ascii="Lato" w:eastAsia="Times New Roman" w:hAnsi="Lato" w:cs="Times New Roman"/>
          <w:color w:val="0C0C0F"/>
          <w:kern w:val="0"/>
          <w:lang w:eastAsia="it-IT"/>
          <w14:ligatures w14:val="none"/>
        </w:rPr>
        <w:t>), in ragione della maggiore insidiosità di un reato commesso con l’utilizzo dell’IA, e della possibilità che essa diminuisca le possibilità di difesa rispetto alla commissione dei reati.</w:t>
      </w:r>
    </w:p>
    <w:p w14:paraId="63449F7E" w14:textId="6EFD9695" w:rsidR="00FE7C0D" w:rsidRDefault="00FE7C0D" w:rsidP="00FE7C0D">
      <w:pPr>
        <w:spacing w:line="360" w:lineRule="auto"/>
        <w:jc w:val="both"/>
        <w:rPr>
          <w:rFonts w:ascii="Lato" w:eastAsia="Times New Roman" w:hAnsi="Lato" w:cs="Times New Roman"/>
          <w:color w:val="0C0C0F"/>
          <w:kern w:val="0"/>
          <w:lang w:eastAsia="it-IT"/>
          <w14:ligatures w14:val="none"/>
        </w:rPr>
      </w:pPr>
      <w:r w:rsidRPr="00FE7C0D">
        <w:rPr>
          <w:rFonts w:ascii="Lato" w:eastAsia="Times New Roman" w:hAnsi="Lato" w:cs="Times New Roman"/>
          <w:color w:val="0C0C0F"/>
          <w:kern w:val="0"/>
          <w:lang w:eastAsia="it-IT"/>
          <w14:ligatures w14:val="none"/>
        </w:rPr>
        <w:t>Proseguiamo ora l'analisi, concentrandoci sugli specifici interventi del disegno di legge riguardanti i singoli reati, e sulle modifiche che impattano direttamente fattispecie delittuose preesistenti.</w:t>
      </w:r>
    </w:p>
    <w:p w14:paraId="04CA65D4" w14:textId="77777777" w:rsidR="00FE7C0D" w:rsidRPr="00FE7C0D" w:rsidRDefault="00FE7C0D" w:rsidP="00FE7C0D">
      <w:pPr>
        <w:spacing w:line="360" w:lineRule="auto"/>
        <w:jc w:val="both"/>
        <w:rPr>
          <w:rFonts w:ascii="Lato" w:eastAsia="Times New Roman" w:hAnsi="Lato" w:cs="Times New Roman"/>
          <w:color w:val="0C0C0F"/>
          <w:kern w:val="0"/>
          <w:lang w:eastAsia="it-IT"/>
          <w14:ligatures w14:val="none"/>
        </w:rPr>
      </w:pPr>
    </w:p>
    <w:p w14:paraId="40E18C37" w14:textId="77777777" w:rsidR="00FE7C0D" w:rsidRPr="00FE7C0D" w:rsidRDefault="00FE7C0D" w:rsidP="00FE7C0D">
      <w:pPr>
        <w:spacing w:line="360" w:lineRule="auto"/>
        <w:jc w:val="both"/>
        <w:rPr>
          <w:rFonts w:ascii="Lato" w:eastAsia="Times New Roman" w:hAnsi="Lato" w:cs="Times New Roman"/>
          <w:vanish/>
          <w:color w:val="0C0C0F"/>
          <w:kern w:val="0"/>
          <w:lang w:eastAsia="it-IT"/>
          <w14:ligatures w14:val="none"/>
        </w:rPr>
      </w:pPr>
    </w:p>
    <w:p w14:paraId="1B2C5848" w14:textId="77777777" w:rsidR="00FE7C0D" w:rsidRPr="00FE7C0D" w:rsidRDefault="00FE7C0D" w:rsidP="00FE7C0D">
      <w:pPr>
        <w:spacing w:line="360" w:lineRule="auto"/>
        <w:jc w:val="both"/>
        <w:outlineLvl w:val="1"/>
        <w:rPr>
          <w:rFonts w:ascii="Lato" w:eastAsia="Times New Roman" w:hAnsi="Lato" w:cs="Times New Roman"/>
          <w:b/>
          <w:bCs/>
          <w:color w:val="0C0C0F"/>
          <w:kern w:val="0"/>
          <w:sz w:val="36"/>
          <w:szCs w:val="36"/>
          <w:lang w:eastAsia="it-IT"/>
          <w14:ligatures w14:val="none"/>
        </w:rPr>
      </w:pPr>
      <w:bookmarkStart w:id="0" w:name="p1"/>
      <w:bookmarkEnd w:id="0"/>
      <w:r w:rsidRPr="00FE7C0D">
        <w:rPr>
          <w:rFonts w:ascii="Lato" w:eastAsia="Times New Roman" w:hAnsi="Lato" w:cs="Times New Roman"/>
          <w:b/>
          <w:bCs/>
          <w:color w:val="0C0C0F"/>
          <w:kern w:val="0"/>
          <w:sz w:val="36"/>
          <w:szCs w:val="36"/>
          <w:lang w:eastAsia="it-IT"/>
          <w14:ligatures w14:val="none"/>
        </w:rPr>
        <w:t>Le disposizioni di carattere speciale. Gli attentati contro di diritti politici</w:t>
      </w:r>
    </w:p>
    <w:p w14:paraId="0F437808" w14:textId="77777777" w:rsidR="00FE7C0D" w:rsidRPr="00FE7C0D" w:rsidRDefault="00FE7C0D" w:rsidP="00FE7C0D">
      <w:pPr>
        <w:spacing w:line="360" w:lineRule="auto"/>
        <w:jc w:val="both"/>
        <w:rPr>
          <w:rFonts w:ascii="Lato" w:eastAsia="Times New Roman" w:hAnsi="Lato" w:cs="Times New Roman"/>
          <w:color w:val="0C0C0F"/>
          <w:kern w:val="0"/>
          <w:lang w:eastAsia="it-IT"/>
          <w14:ligatures w14:val="none"/>
        </w:rPr>
      </w:pPr>
      <w:r w:rsidRPr="00FE7C0D">
        <w:rPr>
          <w:rFonts w:ascii="Lato" w:eastAsia="Times New Roman" w:hAnsi="Lato" w:cs="Times New Roman"/>
          <w:color w:val="0C0C0F"/>
          <w:kern w:val="0"/>
          <w:lang w:eastAsia="it-IT"/>
          <w14:ligatures w14:val="none"/>
        </w:rPr>
        <w:t>L’</w:t>
      </w:r>
      <w:hyperlink r:id="rId8" w:anchor="art294" w:history="1">
        <w:r w:rsidRPr="00FE7C0D">
          <w:rPr>
            <w:rFonts w:ascii="Lato" w:eastAsia="Times New Roman" w:hAnsi="Lato" w:cs="Times New Roman"/>
            <w:b/>
            <w:bCs/>
            <w:color w:val="1E5192"/>
            <w:kern w:val="0"/>
            <w:u w:val="single"/>
            <w:lang w:eastAsia="it-IT"/>
            <w14:ligatures w14:val="none"/>
          </w:rPr>
          <w:t>art. 294 c.p.</w:t>
        </w:r>
      </w:hyperlink>
      <w:r w:rsidRPr="00FE7C0D">
        <w:rPr>
          <w:rFonts w:ascii="Lato" w:eastAsia="Times New Roman" w:hAnsi="Lato" w:cs="Times New Roman"/>
          <w:color w:val="0C0C0F"/>
          <w:kern w:val="0"/>
          <w:lang w:eastAsia="it-IT"/>
          <w14:ligatures w14:val="none"/>
        </w:rPr>
        <w:t>, rubricato </w:t>
      </w:r>
      <w:r w:rsidRPr="00FE7C0D">
        <w:rPr>
          <w:rFonts w:ascii="Lato" w:eastAsia="Times New Roman" w:hAnsi="Lato" w:cs="Times New Roman"/>
          <w:i/>
          <w:iCs/>
          <w:color w:val="0C0C0F"/>
          <w:kern w:val="0"/>
          <w:lang w:eastAsia="it-IT"/>
          <w14:ligatures w14:val="none"/>
        </w:rPr>
        <w:t>Attentati contro i diritti politici del cittadino</w:t>
      </w:r>
      <w:r w:rsidRPr="00FE7C0D">
        <w:rPr>
          <w:rFonts w:ascii="Lato" w:eastAsia="Times New Roman" w:hAnsi="Lato" w:cs="Times New Roman"/>
          <w:color w:val="0C0C0F"/>
          <w:kern w:val="0"/>
          <w:lang w:eastAsia="it-IT"/>
          <w14:ligatures w14:val="none"/>
        </w:rPr>
        <w:t>, punisce la condotta di chi “</w:t>
      </w:r>
      <w:r w:rsidRPr="00FE7C0D">
        <w:rPr>
          <w:rFonts w:ascii="Lato" w:eastAsia="Times New Roman" w:hAnsi="Lato" w:cs="Times New Roman"/>
          <w:i/>
          <w:iCs/>
          <w:color w:val="0C0C0F"/>
          <w:kern w:val="0"/>
          <w:lang w:eastAsia="it-IT"/>
          <w14:ligatures w14:val="none"/>
        </w:rPr>
        <w:t>con violenza, minaccia o inganno impedisce in tutto o in parte l'esercizio di un diritto politico, ovvero determina taluno a esercitarlo in senso difforme dalla sua volontà</w:t>
      </w:r>
      <w:r w:rsidRPr="00FE7C0D">
        <w:rPr>
          <w:rFonts w:ascii="Lato" w:eastAsia="Times New Roman" w:hAnsi="Lato" w:cs="Times New Roman"/>
          <w:color w:val="0C0C0F"/>
          <w:kern w:val="0"/>
          <w:lang w:eastAsia="it-IT"/>
          <w14:ligatures w14:val="none"/>
        </w:rPr>
        <w:t>”.</w:t>
      </w:r>
    </w:p>
    <w:p w14:paraId="2A609563" w14:textId="77777777" w:rsidR="00FE7C0D" w:rsidRPr="00FE7C0D" w:rsidRDefault="00FE7C0D" w:rsidP="00FE7C0D">
      <w:pPr>
        <w:spacing w:line="360" w:lineRule="auto"/>
        <w:jc w:val="both"/>
        <w:rPr>
          <w:rFonts w:ascii="Lato" w:eastAsia="Times New Roman" w:hAnsi="Lato" w:cs="Times New Roman"/>
          <w:color w:val="0C0C0F"/>
          <w:kern w:val="0"/>
          <w:lang w:eastAsia="it-IT"/>
          <w14:ligatures w14:val="none"/>
        </w:rPr>
      </w:pPr>
      <w:r w:rsidRPr="00FE7C0D">
        <w:rPr>
          <w:rFonts w:ascii="Lato" w:eastAsia="Times New Roman" w:hAnsi="Lato" w:cs="Times New Roman"/>
          <w:color w:val="0C0C0F"/>
          <w:kern w:val="0"/>
          <w:lang w:eastAsia="it-IT"/>
          <w14:ligatures w14:val="none"/>
        </w:rPr>
        <w:t>Ebbene, è introdotto un comma ulteriore che prevede un’aggravante qualora l’inganno sia “posto in essere mediante l’impiego di sistemi di intelligenza artificiale”.</w:t>
      </w:r>
    </w:p>
    <w:p w14:paraId="564FBF92" w14:textId="77777777" w:rsidR="00FE7C0D" w:rsidRPr="00FE7C0D" w:rsidRDefault="00FE7C0D" w:rsidP="00FE7C0D">
      <w:pPr>
        <w:spacing w:line="360" w:lineRule="auto"/>
        <w:jc w:val="both"/>
        <w:rPr>
          <w:rFonts w:ascii="Lato" w:eastAsia="Times New Roman" w:hAnsi="Lato" w:cs="Times New Roman"/>
          <w:color w:val="0C0C0F"/>
          <w:kern w:val="0"/>
          <w:lang w:eastAsia="it-IT"/>
          <w14:ligatures w14:val="none"/>
        </w:rPr>
      </w:pPr>
      <w:r w:rsidRPr="00FE7C0D">
        <w:rPr>
          <w:rFonts w:ascii="Lato" w:eastAsia="Times New Roman" w:hAnsi="Lato" w:cs="Times New Roman"/>
          <w:color w:val="0C0C0F"/>
          <w:kern w:val="0"/>
          <w:lang w:eastAsia="it-IT"/>
          <w14:ligatures w14:val="none"/>
        </w:rPr>
        <w:t xml:space="preserve">In questo caso, il legislatore ritiene che la rilevanza del bene giuridico tutelato richieda in ogni caso una punizione più grave, indipendentemente da caratteristiche di insidiosità intrinseca </w:t>
      </w:r>
      <w:r w:rsidRPr="00FE7C0D">
        <w:rPr>
          <w:rFonts w:ascii="Lato" w:eastAsia="Times New Roman" w:hAnsi="Lato" w:cs="Times New Roman"/>
          <w:color w:val="0C0C0F"/>
          <w:kern w:val="0"/>
          <w:lang w:eastAsia="it-IT"/>
          <w14:ligatures w14:val="none"/>
        </w:rPr>
        <w:lastRenderedPageBreak/>
        <w:t>o estrinseca, dalla capacità di ridurre la difesa, dalla gravità delle conseguenze. Se l’inganno avviene con l’IA in ogni caso l’autore deve incorrere in una pena più severa.</w:t>
      </w:r>
    </w:p>
    <w:p w14:paraId="4C751E41" w14:textId="77777777" w:rsidR="00FE7C0D" w:rsidRDefault="00FE7C0D" w:rsidP="00FE7C0D">
      <w:pPr>
        <w:spacing w:line="360" w:lineRule="auto"/>
        <w:jc w:val="both"/>
        <w:rPr>
          <w:rFonts w:ascii="Lato" w:eastAsia="Times New Roman" w:hAnsi="Lato" w:cs="Times New Roman"/>
          <w:color w:val="0C0C0F"/>
          <w:kern w:val="0"/>
          <w:lang w:eastAsia="it-IT"/>
          <w14:ligatures w14:val="none"/>
        </w:rPr>
      </w:pPr>
      <w:r w:rsidRPr="00FE7C0D">
        <w:rPr>
          <w:rFonts w:ascii="Lato" w:eastAsia="Times New Roman" w:hAnsi="Lato" w:cs="Times New Roman"/>
          <w:color w:val="0C0C0F"/>
          <w:kern w:val="0"/>
          <w:lang w:eastAsia="it-IT"/>
          <w14:ligatures w14:val="none"/>
        </w:rPr>
        <w:t>Si tratta di un intervento normativo che cerca di fornire risposta alle tecniche di guerra ibrida, che associano a tradizionali manifestazioni di conflittualità interstatuale anche forme di indebito condizionamento dei processi elettorali delle democrazie rappresentative. In tal senso, intervento senz’altro condivisibile nelle finalità, anche se resta qualche perplessità sulla reale possibilità di perseguimento, visto il carattere internazionale del fenomeno e l’impossibilità di perseguire chi opera nelle fabbriche di chatbot in aree controllate dagli Stati che ne ispirano i comportamenti.</w:t>
      </w:r>
    </w:p>
    <w:p w14:paraId="206063A0" w14:textId="77777777" w:rsidR="00FE7C0D" w:rsidRPr="00FE7C0D" w:rsidRDefault="00FE7C0D" w:rsidP="00FE7C0D">
      <w:pPr>
        <w:spacing w:line="360" w:lineRule="auto"/>
        <w:jc w:val="both"/>
        <w:rPr>
          <w:rFonts w:ascii="Lato" w:eastAsia="Times New Roman" w:hAnsi="Lato" w:cs="Times New Roman"/>
          <w:color w:val="0C0C0F"/>
          <w:kern w:val="0"/>
          <w:lang w:eastAsia="it-IT"/>
          <w14:ligatures w14:val="none"/>
        </w:rPr>
      </w:pPr>
    </w:p>
    <w:p w14:paraId="441671C3" w14:textId="77777777" w:rsidR="00FE7C0D" w:rsidRPr="00FE7C0D" w:rsidRDefault="00FE7C0D" w:rsidP="00FE7C0D">
      <w:pPr>
        <w:spacing w:line="360" w:lineRule="auto"/>
        <w:jc w:val="both"/>
        <w:outlineLvl w:val="1"/>
        <w:rPr>
          <w:rFonts w:ascii="Lato" w:eastAsia="Times New Roman" w:hAnsi="Lato" w:cs="Times New Roman"/>
          <w:b/>
          <w:bCs/>
          <w:color w:val="0C0C0F"/>
          <w:kern w:val="0"/>
          <w:sz w:val="36"/>
          <w:szCs w:val="36"/>
          <w:lang w:eastAsia="it-IT"/>
          <w14:ligatures w14:val="none"/>
        </w:rPr>
      </w:pPr>
      <w:bookmarkStart w:id="1" w:name="p2"/>
      <w:bookmarkEnd w:id="1"/>
      <w:r w:rsidRPr="00FE7C0D">
        <w:rPr>
          <w:rFonts w:ascii="Lato" w:eastAsia="Times New Roman" w:hAnsi="Lato" w:cs="Times New Roman"/>
          <w:b/>
          <w:bCs/>
          <w:color w:val="0C0C0F"/>
          <w:kern w:val="0"/>
          <w:sz w:val="36"/>
          <w:szCs w:val="36"/>
          <w:lang w:eastAsia="it-IT"/>
          <w14:ligatures w14:val="none"/>
        </w:rPr>
        <w:t>Le disposizioni di parte speciale. Il deepfake</w:t>
      </w:r>
    </w:p>
    <w:p w14:paraId="2C1730FD" w14:textId="77777777" w:rsidR="00FE7C0D" w:rsidRPr="00FE7C0D" w:rsidRDefault="00FE7C0D" w:rsidP="00FE7C0D">
      <w:pPr>
        <w:spacing w:line="360" w:lineRule="auto"/>
        <w:jc w:val="both"/>
        <w:rPr>
          <w:rFonts w:ascii="Lato" w:eastAsia="Times New Roman" w:hAnsi="Lato" w:cs="Times New Roman"/>
          <w:color w:val="0C0C0F"/>
          <w:kern w:val="0"/>
          <w:lang w:eastAsia="it-IT"/>
          <w14:ligatures w14:val="none"/>
        </w:rPr>
      </w:pPr>
      <w:r w:rsidRPr="00FE7C0D">
        <w:rPr>
          <w:rFonts w:ascii="Lato" w:eastAsia="Times New Roman" w:hAnsi="Lato" w:cs="Times New Roman"/>
          <w:color w:val="0C0C0F"/>
          <w:kern w:val="0"/>
          <w:lang w:eastAsia="it-IT"/>
          <w14:ligatures w14:val="none"/>
        </w:rPr>
        <w:t>Viene introdotto un nuovo delitto, previsto dall’art. 612-quater, rubricato “</w:t>
      </w:r>
      <w:r w:rsidRPr="00FE7C0D">
        <w:rPr>
          <w:rFonts w:ascii="Lato" w:eastAsia="Times New Roman" w:hAnsi="Lato" w:cs="Times New Roman"/>
          <w:i/>
          <w:iCs/>
          <w:color w:val="0C0C0F"/>
          <w:kern w:val="0"/>
          <w:lang w:eastAsia="it-IT"/>
          <w14:ligatures w14:val="none"/>
        </w:rPr>
        <w:t>Illecita diffusione di contenuti generati o alterati con sistemi di intelligenza artificiale</w:t>
      </w:r>
      <w:r w:rsidRPr="00FE7C0D">
        <w:rPr>
          <w:rFonts w:ascii="Lato" w:eastAsia="Times New Roman" w:hAnsi="Lato" w:cs="Times New Roman"/>
          <w:color w:val="0C0C0F"/>
          <w:kern w:val="0"/>
          <w:lang w:eastAsia="it-IT"/>
          <w14:ligatures w14:val="none"/>
        </w:rPr>
        <w:t>”. La condotta punita è commessa da “</w:t>
      </w:r>
      <w:r w:rsidRPr="00FE7C0D">
        <w:rPr>
          <w:rFonts w:ascii="Lato" w:eastAsia="Times New Roman" w:hAnsi="Lato" w:cs="Times New Roman"/>
          <w:i/>
          <w:iCs/>
          <w:color w:val="0C0C0F"/>
          <w:kern w:val="0"/>
          <w:lang w:eastAsia="it-IT"/>
          <w14:ligatures w14:val="none"/>
        </w:rPr>
        <w:t>chiunque cagiona un danno ingiusto ad una persona, cedendo, pubblicando o altrimenti diffondendo, senza il suo consenso, immagini, video o voci falsificati o alterati mediante l’impiego di sistemi di intelligenza artificiale e idonei a indurre in inganno sulla loro genuinità</w:t>
      </w:r>
      <w:r w:rsidRPr="00FE7C0D">
        <w:rPr>
          <w:rFonts w:ascii="Lato" w:eastAsia="Times New Roman" w:hAnsi="Lato" w:cs="Times New Roman"/>
          <w:color w:val="0C0C0F"/>
          <w:kern w:val="0"/>
          <w:lang w:eastAsia="it-IT"/>
          <w14:ligatures w14:val="none"/>
        </w:rPr>
        <w:t>” e “</w:t>
      </w:r>
      <w:r w:rsidRPr="00FE7C0D">
        <w:rPr>
          <w:rFonts w:ascii="Lato" w:eastAsia="Times New Roman" w:hAnsi="Lato" w:cs="Times New Roman"/>
          <w:i/>
          <w:iCs/>
          <w:color w:val="0C0C0F"/>
          <w:kern w:val="0"/>
          <w:lang w:eastAsia="it-IT"/>
          <w14:ligatures w14:val="none"/>
        </w:rPr>
        <w:t>Il delitto è punibile a querela della persona offesa. Si procede tuttavia d’ufficio se il fatto è connesso con altro delitto per il quale si deve procedere d’ufficio ovvero se è commesso nei confronti di persona inca pace, per età o per infermità, o di una pubblica autorità a causa delle funzioni esercitate</w:t>
      </w:r>
      <w:r w:rsidRPr="00FE7C0D">
        <w:rPr>
          <w:rFonts w:ascii="Lato" w:eastAsia="Times New Roman" w:hAnsi="Lato" w:cs="Times New Roman"/>
          <w:color w:val="0C0C0F"/>
          <w:kern w:val="0"/>
          <w:lang w:eastAsia="it-IT"/>
          <w14:ligatures w14:val="none"/>
        </w:rPr>
        <w:t>”.</w:t>
      </w:r>
    </w:p>
    <w:p w14:paraId="10BF2A03" w14:textId="77777777" w:rsidR="00FE7C0D" w:rsidRPr="00FE7C0D" w:rsidRDefault="00FE7C0D" w:rsidP="00FE7C0D">
      <w:pPr>
        <w:spacing w:line="360" w:lineRule="auto"/>
        <w:jc w:val="both"/>
        <w:rPr>
          <w:rFonts w:ascii="Lato" w:eastAsia="Times New Roman" w:hAnsi="Lato" w:cs="Times New Roman"/>
          <w:color w:val="0C0C0F"/>
          <w:kern w:val="0"/>
          <w:lang w:eastAsia="it-IT"/>
          <w14:ligatures w14:val="none"/>
        </w:rPr>
      </w:pPr>
      <w:r w:rsidRPr="00FE7C0D">
        <w:rPr>
          <w:rFonts w:ascii="Lato" w:eastAsia="Times New Roman" w:hAnsi="Lato" w:cs="Times New Roman"/>
          <w:color w:val="0C0C0F"/>
          <w:kern w:val="0"/>
          <w:lang w:eastAsia="it-IT"/>
          <w14:ligatures w14:val="none"/>
        </w:rPr>
        <w:t>La norma è posta a tutela dell'onore e della reputazione e cerca di aggiornare la protezione di tali beni giuridici in relazione alla realtà contemporanea, Se l’epoca repubblicana ha ispirato per decenni una lettura di onore e reputazione nella visione di eguaglianza e dignità dettati dalla </w:t>
      </w:r>
      <w:hyperlink r:id="rId9" w:history="1">
        <w:r w:rsidRPr="00FE7C0D">
          <w:rPr>
            <w:rFonts w:ascii="Lato" w:eastAsia="Times New Roman" w:hAnsi="Lato" w:cs="Times New Roman"/>
            <w:b/>
            <w:bCs/>
            <w:color w:val="1E5192"/>
            <w:kern w:val="0"/>
            <w:u w:val="single"/>
            <w:lang w:eastAsia="it-IT"/>
            <w14:ligatures w14:val="none"/>
          </w:rPr>
          <w:t>Costituzione</w:t>
        </w:r>
      </w:hyperlink>
      <w:r w:rsidRPr="00FE7C0D">
        <w:rPr>
          <w:rFonts w:ascii="Lato" w:eastAsia="Times New Roman" w:hAnsi="Lato" w:cs="Times New Roman"/>
          <w:color w:val="0C0C0F"/>
          <w:kern w:val="0"/>
          <w:lang w:eastAsia="it-IT"/>
          <w14:ligatures w14:val="none"/>
        </w:rPr>
        <w:t>, l'era digitale pone l’accento sui profili di tutela della libertà di autodeterminazione della persona. La capacità dell'IA di creare immagini, video o voci falsificate, in modo tanto realistico da potere indurre in inganno sulla non veridicità delle medesime, pone in tal senso una nuova sfida.</w:t>
      </w:r>
    </w:p>
    <w:p w14:paraId="10BB6F3D" w14:textId="77777777" w:rsidR="00FE7C0D" w:rsidRPr="00FE7C0D" w:rsidRDefault="00FE7C0D" w:rsidP="00FE7C0D">
      <w:pPr>
        <w:spacing w:line="360" w:lineRule="auto"/>
        <w:jc w:val="both"/>
        <w:rPr>
          <w:rFonts w:ascii="Lato" w:eastAsia="Times New Roman" w:hAnsi="Lato" w:cs="Times New Roman"/>
          <w:color w:val="0C0C0F"/>
          <w:kern w:val="0"/>
          <w:lang w:eastAsia="it-IT"/>
          <w14:ligatures w14:val="none"/>
        </w:rPr>
      </w:pPr>
      <w:r w:rsidRPr="00FE7C0D">
        <w:rPr>
          <w:rFonts w:ascii="Lato" w:eastAsia="Times New Roman" w:hAnsi="Lato" w:cs="Times New Roman"/>
          <w:color w:val="0C0C0F"/>
          <w:kern w:val="0"/>
          <w:lang w:eastAsia="it-IT"/>
          <w14:ligatures w14:val="none"/>
        </w:rPr>
        <w:t xml:space="preserve">La disposizione in primo luogo indica che deve essere cagionato un danno ingiusto, mediante la commissione di alcune condotte tipiche. Tralasciamo in questa analisi ogni osservazione sulla tecnica normativa, certamente, se non proprio infelice, per lo meno non tradizionale; in ogni caso, il legislatore ha scelto una ricostruzione che non porta a un’eccessiva anticipazione </w:t>
      </w:r>
      <w:r w:rsidRPr="00FE7C0D">
        <w:rPr>
          <w:rFonts w:ascii="Lato" w:eastAsia="Times New Roman" w:hAnsi="Lato" w:cs="Times New Roman"/>
          <w:color w:val="0C0C0F"/>
          <w:kern w:val="0"/>
          <w:lang w:eastAsia="it-IT"/>
          <w14:ligatures w14:val="none"/>
        </w:rPr>
        <w:lastRenderedPageBreak/>
        <w:t>della tutela, prevedendo un reato di danno, descrivendo appunto la causazione di un danno ingiusto alla persona.</w:t>
      </w:r>
    </w:p>
    <w:p w14:paraId="01A728D7" w14:textId="77777777" w:rsidR="00FE7C0D" w:rsidRPr="00FE7C0D" w:rsidRDefault="00FE7C0D" w:rsidP="00FE7C0D">
      <w:pPr>
        <w:spacing w:line="360" w:lineRule="auto"/>
        <w:jc w:val="both"/>
        <w:rPr>
          <w:rFonts w:ascii="Lato" w:eastAsia="Times New Roman" w:hAnsi="Lato" w:cs="Times New Roman"/>
          <w:color w:val="0C0C0F"/>
          <w:kern w:val="0"/>
          <w:lang w:eastAsia="it-IT"/>
          <w14:ligatures w14:val="none"/>
        </w:rPr>
      </w:pPr>
      <w:r w:rsidRPr="00FE7C0D">
        <w:rPr>
          <w:rFonts w:ascii="Lato" w:eastAsia="Times New Roman" w:hAnsi="Lato" w:cs="Times New Roman"/>
          <w:color w:val="0C0C0F"/>
          <w:kern w:val="0"/>
          <w:lang w:eastAsia="it-IT"/>
          <w14:ligatures w14:val="none"/>
        </w:rPr>
        <w:t>Peraltro, di analoga pregnanza si manifesta la condizione secondo cui i contenuti elaborati debbano risultare "</w:t>
      </w:r>
      <w:r w:rsidRPr="00FE7C0D">
        <w:rPr>
          <w:rFonts w:ascii="Lato" w:eastAsia="Times New Roman" w:hAnsi="Lato" w:cs="Times New Roman"/>
          <w:i/>
          <w:iCs/>
          <w:color w:val="0C0C0F"/>
          <w:kern w:val="0"/>
          <w:lang w:eastAsia="it-IT"/>
          <w14:ligatures w14:val="none"/>
        </w:rPr>
        <w:t>idonei a indurre in inganno sulla loro genuinità</w:t>
      </w:r>
      <w:r w:rsidRPr="00FE7C0D">
        <w:rPr>
          <w:rFonts w:ascii="Lato" w:eastAsia="Times New Roman" w:hAnsi="Lato" w:cs="Times New Roman"/>
          <w:color w:val="0C0C0F"/>
          <w:kern w:val="0"/>
          <w:lang w:eastAsia="it-IT"/>
          <w14:ligatures w14:val="none"/>
        </w:rPr>
        <w:t>", criterio che postula una valutazione di carattere oggettivo circa la capacità decettiva dell'alterazione prodotta mediante l'impiego di intelligenza artificiale.</w:t>
      </w:r>
    </w:p>
    <w:p w14:paraId="04D683FF" w14:textId="77777777" w:rsidR="00FE7C0D" w:rsidRPr="00FE7C0D" w:rsidRDefault="00FE7C0D" w:rsidP="00FE7C0D">
      <w:pPr>
        <w:spacing w:line="360" w:lineRule="auto"/>
        <w:jc w:val="both"/>
        <w:rPr>
          <w:rFonts w:ascii="Lato" w:eastAsia="Times New Roman" w:hAnsi="Lato" w:cs="Times New Roman"/>
          <w:color w:val="0C0C0F"/>
          <w:kern w:val="0"/>
          <w:lang w:eastAsia="it-IT"/>
          <w14:ligatures w14:val="none"/>
        </w:rPr>
      </w:pPr>
      <w:r w:rsidRPr="00FE7C0D">
        <w:rPr>
          <w:rFonts w:ascii="Lato" w:eastAsia="Times New Roman" w:hAnsi="Lato" w:cs="Times New Roman"/>
          <w:color w:val="0C0C0F"/>
          <w:kern w:val="0"/>
          <w:lang w:eastAsia="it-IT"/>
          <w14:ligatures w14:val="none"/>
        </w:rPr>
        <w:t>Le modalità di estrinsecazione della condotta (cessione, pubblicazione e ogni ulteriore forma di diffusione) dovrebbero, nell’intenzione del legislatore, abbracciare esaustivamente la totalità dello spettro delle dinamiche di circolazione dei contenuti nell'ecosistema digitale contemporaneo, spaziando dalla trasmissione immediata e diretta sino alla pubblicazione su piattaforme ad accesso libero e indiscriminato. </w:t>
      </w:r>
    </w:p>
    <w:p w14:paraId="3492707B" w14:textId="77777777" w:rsidR="00FE7C0D" w:rsidRDefault="00FE7C0D" w:rsidP="00FE7C0D">
      <w:pPr>
        <w:spacing w:line="360" w:lineRule="auto"/>
        <w:jc w:val="both"/>
        <w:rPr>
          <w:rFonts w:ascii="Lato" w:eastAsia="Times New Roman" w:hAnsi="Lato" w:cs="Times New Roman"/>
          <w:color w:val="0C0C0F"/>
          <w:kern w:val="0"/>
          <w:lang w:eastAsia="it-IT"/>
          <w14:ligatures w14:val="none"/>
        </w:rPr>
      </w:pPr>
      <w:r w:rsidRPr="00FE7C0D">
        <w:rPr>
          <w:rFonts w:ascii="Lato" w:eastAsia="Times New Roman" w:hAnsi="Lato" w:cs="Times New Roman"/>
          <w:color w:val="0C0C0F"/>
          <w:kern w:val="0"/>
          <w:lang w:eastAsia="it-IT"/>
          <w14:ligatures w14:val="none"/>
        </w:rPr>
        <w:t>Cruciale, infine, a definire la rilevanza dell’autodeterminazione, è l'elemento dell'assenza di consenso del soggetto passivo, requisito che assurge a componente tipizzante dell'illecito mediante l'invasione della sfera individuale. Legato a tale profilo è anche quello della scelta in ordine alla procedibilità. Essa, infatti, è a querela del soggetto leso, fatta eccezione per quelle circostanze nelle quali la gravità del contesto, la condizione di vulnerabilità del soggetto (incapaci per età o per infermità) ovvero la rilevanza istituzionale (pubblica autorità) rendano imprescindibile la procedibilità d'ufficio, testimoniando in tal guisa una modulazione della tutela commisurata alla natura del bene giuridico esposto a pericolo.</w:t>
      </w:r>
    </w:p>
    <w:p w14:paraId="5EE5EBB4" w14:textId="77777777" w:rsidR="00FE7C0D" w:rsidRPr="00FE7C0D" w:rsidRDefault="00FE7C0D" w:rsidP="00FE7C0D">
      <w:pPr>
        <w:spacing w:line="360" w:lineRule="auto"/>
        <w:jc w:val="both"/>
        <w:rPr>
          <w:rFonts w:ascii="Lato" w:eastAsia="Times New Roman" w:hAnsi="Lato" w:cs="Times New Roman"/>
          <w:color w:val="0C0C0F"/>
          <w:kern w:val="0"/>
          <w:lang w:eastAsia="it-IT"/>
          <w14:ligatures w14:val="none"/>
        </w:rPr>
      </w:pPr>
    </w:p>
    <w:p w14:paraId="5BDA5A55" w14:textId="77777777" w:rsidR="00FE7C0D" w:rsidRPr="00FE7C0D" w:rsidRDefault="00FE7C0D" w:rsidP="00FE7C0D">
      <w:pPr>
        <w:spacing w:line="360" w:lineRule="auto"/>
        <w:jc w:val="both"/>
        <w:outlineLvl w:val="1"/>
        <w:rPr>
          <w:rFonts w:ascii="Lato" w:eastAsia="Times New Roman" w:hAnsi="Lato" w:cs="Times New Roman"/>
          <w:b/>
          <w:bCs/>
          <w:color w:val="0C0C0F"/>
          <w:kern w:val="0"/>
          <w:sz w:val="36"/>
          <w:szCs w:val="36"/>
          <w:lang w:eastAsia="it-IT"/>
          <w14:ligatures w14:val="none"/>
        </w:rPr>
      </w:pPr>
      <w:bookmarkStart w:id="2" w:name="p3"/>
      <w:bookmarkEnd w:id="2"/>
      <w:r w:rsidRPr="00FE7C0D">
        <w:rPr>
          <w:rFonts w:ascii="Lato" w:eastAsia="Times New Roman" w:hAnsi="Lato" w:cs="Times New Roman"/>
          <w:b/>
          <w:bCs/>
          <w:color w:val="0C0C0F"/>
          <w:kern w:val="0"/>
          <w:sz w:val="36"/>
          <w:szCs w:val="36"/>
          <w:lang w:eastAsia="it-IT"/>
          <w14:ligatures w14:val="none"/>
        </w:rPr>
        <w:t>Le disposizioni di carattere speciale. Le condotte di aggiotaggio</w:t>
      </w:r>
    </w:p>
    <w:p w14:paraId="62C845A5" w14:textId="77777777" w:rsidR="00FE7C0D" w:rsidRPr="00FE7C0D" w:rsidRDefault="00FE7C0D" w:rsidP="00FE7C0D">
      <w:pPr>
        <w:spacing w:line="360" w:lineRule="auto"/>
        <w:jc w:val="both"/>
        <w:rPr>
          <w:rFonts w:ascii="Lato" w:eastAsia="Times New Roman" w:hAnsi="Lato" w:cs="Times New Roman"/>
          <w:color w:val="0C0C0F"/>
          <w:kern w:val="0"/>
          <w:lang w:eastAsia="it-IT"/>
          <w14:ligatures w14:val="none"/>
        </w:rPr>
      </w:pPr>
      <w:r w:rsidRPr="00FE7C0D">
        <w:rPr>
          <w:rFonts w:ascii="Lato" w:eastAsia="Times New Roman" w:hAnsi="Lato" w:cs="Times New Roman"/>
          <w:color w:val="0C0C0F"/>
          <w:kern w:val="0"/>
          <w:lang w:eastAsia="it-IT"/>
          <w14:ligatures w14:val="none"/>
        </w:rPr>
        <w:t>Il delitto di aggiotaggio è previsto dall’art. 501 c.p. e punisce la condotta di chiunque “</w:t>
      </w:r>
      <w:r w:rsidRPr="00FE7C0D">
        <w:rPr>
          <w:rFonts w:ascii="Lato" w:eastAsia="Times New Roman" w:hAnsi="Lato" w:cs="Times New Roman"/>
          <w:i/>
          <w:iCs/>
          <w:color w:val="0C0C0F"/>
          <w:kern w:val="0"/>
          <w:lang w:eastAsia="it-IT"/>
          <w14:ligatures w14:val="none"/>
        </w:rPr>
        <w:t>al fine di turbare il mercato interno dei valori o delle merci, pubblica o altrimenti divulga notizie false, esagerate o tendenziose o adopera altri artifizi atti a cagionare un aumento o una diminuzione del prezzo delle merci, ovvero dei valori ammessi nelle liste di borsa o negoziabili nel pubblico mercato</w:t>
      </w:r>
      <w:r w:rsidRPr="00FE7C0D">
        <w:rPr>
          <w:rFonts w:ascii="Lato" w:eastAsia="Times New Roman" w:hAnsi="Lato" w:cs="Times New Roman"/>
          <w:color w:val="0C0C0F"/>
          <w:kern w:val="0"/>
          <w:lang w:eastAsia="it-IT"/>
          <w14:ligatures w14:val="none"/>
        </w:rPr>
        <w:t>”. Oltre al delitto di aggiotaggio comune, vi sono previsioni di aggiotaggio speciali, ed è in relazione a esse che il DDL sull’IA prevede interventi puntuali.</w:t>
      </w:r>
    </w:p>
    <w:p w14:paraId="3824B1D2" w14:textId="77777777" w:rsidR="00FE7C0D" w:rsidRPr="00FE7C0D" w:rsidRDefault="00FE7C0D" w:rsidP="00FE7C0D">
      <w:pPr>
        <w:spacing w:line="360" w:lineRule="auto"/>
        <w:jc w:val="both"/>
        <w:rPr>
          <w:rFonts w:ascii="Lato" w:eastAsia="Times New Roman" w:hAnsi="Lato" w:cs="Times New Roman"/>
          <w:color w:val="0C0C0F"/>
          <w:kern w:val="0"/>
          <w:lang w:eastAsia="it-IT"/>
          <w14:ligatures w14:val="none"/>
        </w:rPr>
      </w:pPr>
      <w:r w:rsidRPr="00FE7C0D">
        <w:rPr>
          <w:rFonts w:ascii="Lato" w:eastAsia="Times New Roman" w:hAnsi="Lato" w:cs="Times New Roman"/>
          <w:color w:val="0C0C0F"/>
          <w:kern w:val="0"/>
          <w:lang w:eastAsia="it-IT"/>
          <w14:ligatures w14:val="none"/>
        </w:rPr>
        <w:t>La prima figura è quella di aggiotaggio societario e bancario, cui all’</w:t>
      </w:r>
      <w:hyperlink r:id="rId10" w:anchor="art2637" w:history="1">
        <w:r w:rsidRPr="00FE7C0D">
          <w:rPr>
            <w:rFonts w:ascii="Lato" w:eastAsia="Times New Roman" w:hAnsi="Lato" w:cs="Times New Roman"/>
            <w:b/>
            <w:bCs/>
            <w:color w:val="1E5192"/>
            <w:kern w:val="0"/>
            <w:u w:val="single"/>
            <w:lang w:eastAsia="it-IT"/>
            <w14:ligatures w14:val="none"/>
          </w:rPr>
          <w:t>art. 2637 c.c.</w:t>
        </w:r>
      </w:hyperlink>
      <w:r w:rsidRPr="00FE7C0D">
        <w:rPr>
          <w:rFonts w:ascii="Lato" w:eastAsia="Times New Roman" w:hAnsi="Lato" w:cs="Times New Roman"/>
          <w:color w:val="0C0C0F"/>
          <w:kern w:val="0"/>
          <w:lang w:eastAsia="it-IT"/>
          <w14:ligatures w14:val="none"/>
        </w:rPr>
        <w:t>, che punisce la condotta di “</w:t>
      </w:r>
      <w:r w:rsidRPr="00FE7C0D">
        <w:rPr>
          <w:rFonts w:ascii="Lato" w:eastAsia="Times New Roman" w:hAnsi="Lato" w:cs="Times New Roman"/>
          <w:i/>
          <w:iCs/>
          <w:color w:val="0C0C0F"/>
          <w:kern w:val="0"/>
          <w:lang w:eastAsia="it-IT"/>
          <w14:ligatures w14:val="none"/>
        </w:rPr>
        <w:t xml:space="preserve">chiunque diffonde notizie false, ovvero pone in essere operazioni simulate o altri artifici concretamente idonei a provocare una sensibile alterazione del prezzo di strumenti finanziari non quotati o per i quali non è stata presentata una richiesta di ammissione alle </w:t>
      </w:r>
      <w:r w:rsidRPr="00FE7C0D">
        <w:rPr>
          <w:rFonts w:ascii="Lato" w:eastAsia="Times New Roman" w:hAnsi="Lato" w:cs="Times New Roman"/>
          <w:i/>
          <w:iCs/>
          <w:color w:val="0C0C0F"/>
          <w:kern w:val="0"/>
          <w:lang w:eastAsia="it-IT"/>
          <w14:ligatures w14:val="none"/>
        </w:rPr>
        <w:lastRenderedPageBreak/>
        <w:t>negoziazioni in un mercato regolamentato, ovvero ad incidere in modo significativo sull'affidamento che il pubblico ripone nella stabilità patrimoniale di banche o di gruppi bancari</w:t>
      </w:r>
      <w:r w:rsidRPr="00FE7C0D">
        <w:rPr>
          <w:rFonts w:ascii="Lato" w:eastAsia="Times New Roman" w:hAnsi="Lato" w:cs="Times New Roman"/>
          <w:color w:val="0C0C0F"/>
          <w:kern w:val="0"/>
          <w:lang w:eastAsia="it-IT"/>
          <w14:ligatures w14:val="none"/>
        </w:rPr>
        <w:t>”. L’aggiotaggio manipolativo o finanziario è figura dettata dall’art. 185 </w:t>
      </w:r>
      <w:proofErr w:type="spellStart"/>
      <w:r w:rsidRPr="00FE7C0D">
        <w:rPr>
          <w:rFonts w:ascii="Lato" w:eastAsia="Times New Roman" w:hAnsi="Lato" w:cs="Times New Roman"/>
          <w:b/>
          <w:bCs/>
          <w:color w:val="0C0C0F"/>
          <w:kern w:val="0"/>
          <w:lang w:eastAsia="it-IT"/>
          <w14:ligatures w14:val="none"/>
        </w:rPr>
        <w:fldChar w:fldCharType="begin"/>
      </w:r>
      <w:r w:rsidRPr="00FE7C0D">
        <w:rPr>
          <w:rFonts w:ascii="Lato" w:eastAsia="Times New Roman" w:hAnsi="Lato" w:cs="Times New Roman"/>
          <w:b/>
          <w:bCs/>
          <w:color w:val="0C0C0F"/>
          <w:kern w:val="0"/>
          <w:lang w:eastAsia="it-IT"/>
          <w14:ligatures w14:val="none"/>
        </w:rPr>
        <w:instrText>HYPERLINK "https://www.altalex.com/documents/codici-altalex/2018/04/30/testo-unico-della-finanza-tuf"</w:instrText>
      </w:r>
      <w:r w:rsidRPr="00FE7C0D">
        <w:rPr>
          <w:rFonts w:ascii="Lato" w:eastAsia="Times New Roman" w:hAnsi="Lato" w:cs="Times New Roman"/>
          <w:b/>
          <w:bCs/>
          <w:color w:val="0C0C0F"/>
          <w:kern w:val="0"/>
          <w:lang w:eastAsia="it-IT"/>
          <w14:ligatures w14:val="none"/>
        </w:rPr>
      </w:r>
      <w:r w:rsidRPr="00FE7C0D">
        <w:rPr>
          <w:rFonts w:ascii="Lato" w:eastAsia="Times New Roman" w:hAnsi="Lato" w:cs="Times New Roman"/>
          <w:b/>
          <w:bCs/>
          <w:color w:val="0C0C0F"/>
          <w:kern w:val="0"/>
          <w:lang w:eastAsia="it-IT"/>
          <w14:ligatures w14:val="none"/>
        </w:rPr>
        <w:fldChar w:fldCharType="separate"/>
      </w:r>
      <w:r w:rsidRPr="00FE7C0D">
        <w:rPr>
          <w:rFonts w:ascii="Lato" w:eastAsia="Times New Roman" w:hAnsi="Lato" w:cs="Times New Roman"/>
          <w:b/>
          <w:bCs/>
          <w:color w:val="1E5192"/>
          <w:kern w:val="0"/>
          <w:u w:val="single"/>
          <w:lang w:eastAsia="it-IT"/>
          <w14:ligatures w14:val="none"/>
        </w:rPr>
        <w:t>D.Lgs.</w:t>
      </w:r>
      <w:proofErr w:type="spellEnd"/>
      <w:r w:rsidRPr="00FE7C0D">
        <w:rPr>
          <w:rFonts w:ascii="Lato" w:eastAsia="Times New Roman" w:hAnsi="Lato" w:cs="Times New Roman"/>
          <w:b/>
          <w:bCs/>
          <w:color w:val="1E5192"/>
          <w:kern w:val="0"/>
          <w:u w:val="single"/>
          <w:lang w:eastAsia="it-IT"/>
          <w14:ligatures w14:val="none"/>
        </w:rPr>
        <w:t xml:space="preserve"> 24.2.1998, n. 58</w:t>
      </w:r>
      <w:r w:rsidRPr="00FE7C0D">
        <w:rPr>
          <w:rFonts w:ascii="Lato" w:eastAsia="Times New Roman" w:hAnsi="Lato" w:cs="Times New Roman"/>
          <w:b/>
          <w:bCs/>
          <w:color w:val="0C0C0F"/>
          <w:kern w:val="0"/>
          <w:lang w:eastAsia="it-IT"/>
          <w14:ligatures w14:val="none"/>
        </w:rPr>
        <w:fldChar w:fldCharType="end"/>
      </w:r>
      <w:r w:rsidRPr="00FE7C0D">
        <w:rPr>
          <w:rFonts w:ascii="Lato" w:eastAsia="Times New Roman" w:hAnsi="Lato" w:cs="Times New Roman"/>
          <w:color w:val="0C0C0F"/>
          <w:kern w:val="0"/>
          <w:lang w:eastAsia="it-IT"/>
          <w14:ligatures w14:val="none"/>
        </w:rPr>
        <w:t> (testo unico delle disposizioni in materia di intermediazione finanziaria, c.d. T.U.F.). La norma incriminatrice individua una previsione del tutto analoga a quella di cui all’art. 2637 c.c., in relazione, però, agli strumenti nei mercati regolati (non vi è, infatti, la previsione dell’esclusiva applicazione, prevista all’art. 2637 c.c., agli strumenti non quotati e non in fase di quotazione): è punito “</w:t>
      </w:r>
      <w:r w:rsidRPr="00FE7C0D">
        <w:rPr>
          <w:rFonts w:ascii="Lato" w:eastAsia="Times New Roman" w:hAnsi="Lato" w:cs="Times New Roman"/>
          <w:i/>
          <w:iCs/>
          <w:color w:val="0C0C0F"/>
          <w:kern w:val="0"/>
          <w:lang w:eastAsia="it-IT"/>
          <w14:ligatures w14:val="none"/>
        </w:rPr>
        <w:t>chiunque diffonde notizie false o pone in essere operazioni simulate o altri artifizi concretamente idonei a provocare una sensibile alterazione del prezzo di strumenti finanziar</w:t>
      </w:r>
      <w:r w:rsidRPr="00FE7C0D">
        <w:rPr>
          <w:rFonts w:ascii="Lato" w:eastAsia="Times New Roman" w:hAnsi="Lato" w:cs="Times New Roman"/>
          <w:color w:val="0C0C0F"/>
          <w:kern w:val="0"/>
          <w:lang w:eastAsia="it-IT"/>
          <w14:ligatures w14:val="none"/>
        </w:rPr>
        <w:t>i”).</w:t>
      </w:r>
    </w:p>
    <w:p w14:paraId="72C687D3" w14:textId="77777777" w:rsidR="00FE7C0D" w:rsidRPr="00FE7C0D" w:rsidRDefault="00FE7C0D" w:rsidP="00FE7C0D">
      <w:pPr>
        <w:spacing w:line="360" w:lineRule="auto"/>
        <w:jc w:val="both"/>
        <w:rPr>
          <w:rFonts w:ascii="Lato" w:eastAsia="Times New Roman" w:hAnsi="Lato" w:cs="Times New Roman"/>
          <w:color w:val="0C0C0F"/>
          <w:kern w:val="0"/>
          <w:lang w:eastAsia="it-IT"/>
          <w14:ligatures w14:val="none"/>
        </w:rPr>
      </w:pPr>
      <w:r w:rsidRPr="00FE7C0D">
        <w:rPr>
          <w:rFonts w:ascii="Lato" w:eastAsia="Times New Roman" w:hAnsi="Lato" w:cs="Times New Roman"/>
          <w:color w:val="0C0C0F"/>
          <w:kern w:val="0"/>
          <w:lang w:eastAsia="it-IT"/>
          <w14:ligatures w14:val="none"/>
        </w:rPr>
        <w:t>Si tratta, quindi, di reati identici sul piano della tipicità, che prendono le mosse dallo schema del delitto comune di cui all’</w:t>
      </w:r>
      <w:hyperlink r:id="rId11" w:anchor="art501" w:history="1">
        <w:r w:rsidRPr="00FE7C0D">
          <w:rPr>
            <w:rFonts w:ascii="Lato" w:eastAsia="Times New Roman" w:hAnsi="Lato" w:cs="Times New Roman"/>
            <w:b/>
            <w:bCs/>
            <w:color w:val="1E5192"/>
            <w:kern w:val="0"/>
            <w:u w:val="single"/>
            <w:lang w:eastAsia="it-IT"/>
            <w14:ligatures w14:val="none"/>
          </w:rPr>
          <w:t>art. 501 c.p.</w:t>
        </w:r>
      </w:hyperlink>
      <w:r w:rsidRPr="00FE7C0D">
        <w:rPr>
          <w:rFonts w:ascii="Lato" w:eastAsia="Times New Roman" w:hAnsi="Lato" w:cs="Times New Roman"/>
          <w:color w:val="0C0C0F"/>
          <w:kern w:val="0"/>
          <w:lang w:eastAsia="it-IT"/>
          <w14:ligatures w14:val="none"/>
        </w:rPr>
        <w:t>, differenziati solo per tipo di mercato (regolato o meno), in cui a essere punita è la manipolazione mediante alterazione dei prezzi degli strumenti. Le condotte possono essere compiute cumulativamente o alternativamente tra loro, e consistono in alcuni comportamenti descritti dalle due norme incriminatrici: la diffusione di false notizie, la messa in atto di operazioni simulate, di utilizzo di qualsiasi altro artificio che sia concretamente idoneo a incidere sul prezzo degli strumenti, oppure sull’affidamento del pubblico nella stabilità del sistema bancario.</w:t>
      </w:r>
    </w:p>
    <w:p w14:paraId="45558EE1" w14:textId="77777777" w:rsidR="00FE7C0D" w:rsidRDefault="00FE7C0D" w:rsidP="00FE7C0D">
      <w:pPr>
        <w:spacing w:line="360" w:lineRule="auto"/>
        <w:jc w:val="both"/>
        <w:rPr>
          <w:rFonts w:ascii="Lato" w:eastAsia="Times New Roman" w:hAnsi="Lato" w:cs="Times New Roman"/>
          <w:color w:val="0C0C0F"/>
          <w:kern w:val="0"/>
          <w:lang w:eastAsia="it-IT"/>
          <w14:ligatures w14:val="none"/>
        </w:rPr>
      </w:pPr>
      <w:r w:rsidRPr="00FE7C0D">
        <w:rPr>
          <w:rFonts w:ascii="Lato" w:eastAsia="Times New Roman" w:hAnsi="Lato" w:cs="Times New Roman"/>
          <w:color w:val="0C0C0F"/>
          <w:kern w:val="0"/>
          <w:lang w:eastAsia="it-IT"/>
          <w14:ligatures w14:val="none"/>
        </w:rPr>
        <w:t>In tale quadro, sono introdotte sia all’art. 2637 c.c. sia all’art. 185 T.U.F. – non invece all’art. 501 c.p. – due circostanze aggravanti, “</w:t>
      </w:r>
      <w:r w:rsidRPr="00FE7C0D">
        <w:rPr>
          <w:rFonts w:ascii="Lato" w:eastAsia="Times New Roman" w:hAnsi="Lato" w:cs="Times New Roman"/>
          <w:i/>
          <w:iCs/>
          <w:color w:val="0C0C0F"/>
          <w:kern w:val="0"/>
          <w:lang w:eastAsia="it-IT"/>
          <w14:ligatures w14:val="none"/>
        </w:rPr>
        <w:t>se il fatto è commesso mediante l’impiego di sistemi di intelligenza artificiale</w:t>
      </w:r>
      <w:r w:rsidRPr="00FE7C0D">
        <w:rPr>
          <w:rFonts w:ascii="Lato" w:eastAsia="Times New Roman" w:hAnsi="Lato" w:cs="Times New Roman"/>
          <w:color w:val="0C0C0F"/>
          <w:kern w:val="0"/>
          <w:lang w:eastAsia="it-IT"/>
          <w14:ligatures w14:val="none"/>
        </w:rPr>
        <w:t>”. Questa distinzione potrebbe suggerire una volontà di concentrare le nuove misure repressive sui reati a sfondo economico e finanziario, dove l'IA può avere un impatto più immediato e destabilizzante. Va, peraltro, ricordato che nel disegno di legge licenziato dal governo, in cui maggiori erano gli interventi previsti in ambito penalistico, la previsione concerneva anche il delitto comune.</w:t>
      </w:r>
    </w:p>
    <w:p w14:paraId="7CCBFA96" w14:textId="77777777" w:rsidR="00FE7C0D" w:rsidRPr="00FE7C0D" w:rsidRDefault="00FE7C0D" w:rsidP="00FE7C0D">
      <w:pPr>
        <w:spacing w:line="360" w:lineRule="auto"/>
        <w:jc w:val="both"/>
        <w:rPr>
          <w:rFonts w:ascii="Lato" w:eastAsia="Times New Roman" w:hAnsi="Lato" w:cs="Times New Roman"/>
          <w:color w:val="0C0C0F"/>
          <w:kern w:val="0"/>
          <w:lang w:eastAsia="it-IT"/>
          <w14:ligatures w14:val="none"/>
        </w:rPr>
      </w:pPr>
    </w:p>
    <w:p w14:paraId="7E5736DC" w14:textId="77777777" w:rsidR="00FE7C0D" w:rsidRPr="00FE7C0D" w:rsidRDefault="00FE7C0D" w:rsidP="00FE7C0D">
      <w:pPr>
        <w:spacing w:line="360" w:lineRule="auto"/>
        <w:jc w:val="both"/>
        <w:outlineLvl w:val="1"/>
        <w:rPr>
          <w:rFonts w:ascii="Lato" w:eastAsia="Times New Roman" w:hAnsi="Lato" w:cs="Times New Roman"/>
          <w:b/>
          <w:bCs/>
          <w:color w:val="0C0C0F"/>
          <w:kern w:val="0"/>
          <w:sz w:val="36"/>
          <w:szCs w:val="36"/>
          <w:lang w:eastAsia="it-IT"/>
          <w14:ligatures w14:val="none"/>
        </w:rPr>
      </w:pPr>
      <w:r w:rsidRPr="00FE7C0D">
        <w:rPr>
          <w:rFonts w:ascii="Lato" w:eastAsia="Times New Roman" w:hAnsi="Lato" w:cs="Times New Roman"/>
          <w:b/>
          <w:bCs/>
          <w:color w:val="0C0C0F"/>
          <w:kern w:val="0"/>
          <w:sz w:val="36"/>
          <w:szCs w:val="36"/>
          <w:lang w:eastAsia="it-IT"/>
          <w14:ligatures w14:val="none"/>
        </w:rPr>
        <w:t xml:space="preserve">Le disposizioni di carattere speciale. Il </w:t>
      </w:r>
      <w:proofErr w:type="gramStart"/>
      <w:r w:rsidRPr="00FE7C0D">
        <w:rPr>
          <w:rFonts w:ascii="Lato" w:eastAsia="Times New Roman" w:hAnsi="Lato" w:cs="Times New Roman"/>
          <w:b/>
          <w:bCs/>
          <w:color w:val="0C0C0F"/>
          <w:kern w:val="0"/>
          <w:sz w:val="36"/>
          <w:szCs w:val="36"/>
          <w:lang w:eastAsia="it-IT"/>
          <w14:ligatures w14:val="none"/>
        </w:rPr>
        <w:t>copyright</w:t>
      </w:r>
      <w:proofErr w:type="gramEnd"/>
    </w:p>
    <w:p w14:paraId="72E0900D" w14:textId="77777777" w:rsidR="00FE7C0D" w:rsidRPr="00FE7C0D" w:rsidRDefault="00FE7C0D" w:rsidP="00FE7C0D">
      <w:pPr>
        <w:spacing w:line="360" w:lineRule="auto"/>
        <w:jc w:val="both"/>
        <w:rPr>
          <w:rFonts w:ascii="Lato" w:eastAsia="Times New Roman" w:hAnsi="Lato" w:cs="Times New Roman"/>
          <w:color w:val="0C0C0F"/>
          <w:kern w:val="0"/>
          <w:lang w:eastAsia="it-IT"/>
          <w14:ligatures w14:val="none"/>
        </w:rPr>
      </w:pPr>
      <w:r w:rsidRPr="00FE7C0D">
        <w:rPr>
          <w:rFonts w:ascii="Lato" w:eastAsia="Times New Roman" w:hAnsi="Lato" w:cs="Times New Roman"/>
          <w:color w:val="0C0C0F"/>
          <w:kern w:val="0"/>
          <w:lang w:eastAsia="it-IT"/>
          <w14:ligatures w14:val="none"/>
        </w:rPr>
        <w:t>Viene inserita nell’art. 171 della </w:t>
      </w:r>
      <w:hyperlink r:id="rId12" w:history="1">
        <w:r w:rsidRPr="00FE7C0D">
          <w:rPr>
            <w:rFonts w:ascii="Lato" w:eastAsia="Times New Roman" w:hAnsi="Lato" w:cs="Times New Roman"/>
            <w:b/>
            <w:bCs/>
            <w:color w:val="1E5192"/>
            <w:kern w:val="0"/>
            <w:u w:val="single"/>
            <w:lang w:eastAsia="it-IT"/>
            <w14:ligatures w14:val="none"/>
          </w:rPr>
          <w:t>L. 22 aprile 1941, n. 633</w:t>
        </w:r>
      </w:hyperlink>
      <w:r w:rsidRPr="00FE7C0D">
        <w:rPr>
          <w:rFonts w:ascii="Lato" w:eastAsia="Times New Roman" w:hAnsi="Lato" w:cs="Times New Roman"/>
          <w:color w:val="0C0C0F"/>
          <w:kern w:val="0"/>
          <w:lang w:eastAsia="it-IT"/>
          <w14:ligatures w14:val="none"/>
        </w:rPr>
        <w:t> (legge sul diritto d’autore) una nuova lettera a-ter), che prevede la punizione della condotta di chi riproduce o estrae testo o dati da opere o altri materiali disponibili in rete o in banche di dati in violazione degli articoli 70-ter e 70-quater, anche attraverso sistemi di intelligenza artificiale.</w:t>
      </w:r>
    </w:p>
    <w:p w14:paraId="2C0345C6" w14:textId="77777777" w:rsidR="00FE7C0D" w:rsidRPr="00FE7C0D" w:rsidRDefault="00FE7C0D" w:rsidP="00FE7C0D">
      <w:pPr>
        <w:spacing w:line="360" w:lineRule="auto"/>
        <w:jc w:val="both"/>
        <w:rPr>
          <w:rFonts w:ascii="Lato" w:eastAsia="Times New Roman" w:hAnsi="Lato" w:cs="Times New Roman"/>
          <w:color w:val="0C0C0F"/>
          <w:kern w:val="0"/>
          <w:lang w:eastAsia="it-IT"/>
          <w14:ligatures w14:val="none"/>
        </w:rPr>
      </w:pPr>
      <w:r w:rsidRPr="00FE7C0D">
        <w:rPr>
          <w:rFonts w:ascii="Lato" w:eastAsia="Times New Roman" w:hAnsi="Lato" w:cs="Times New Roman"/>
          <w:color w:val="0C0C0F"/>
          <w:kern w:val="0"/>
          <w:lang w:eastAsia="it-IT"/>
          <w14:ligatures w14:val="none"/>
        </w:rPr>
        <w:lastRenderedPageBreak/>
        <w:t>Si tratta della previsione espressa della punibilità delle condotte di text data mining (TDM) compiute in modo abusivo. Il TDM è un’attività di estrazione di testo e dati con tecnica di analisi automatizzata di grandi volumi di dati per estrarre informazioni. Il legislatore nel 2021 ha previsto alcune norme di regolazione di tale attività, proprio con l’inserimento degli articoli 70-ter (disciplina in relazione all’attività compiuta per scopi di ricerca scientifica da parte di organismi a ciò preposti e istituti culturali) e 70-</w:t>
      </w:r>
      <w:proofErr w:type="gramStart"/>
      <w:r w:rsidRPr="00FE7C0D">
        <w:rPr>
          <w:rFonts w:ascii="Lato" w:eastAsia="Times New Roman" w:hAnsi="Lato" w:cs="Times New Roman"/>
          <w:color w:val="0C0C0F"/>
          <w:kern w:val="0"/>
          <w:lang w:eastAsia="it-IT"/>
          <w14:ligatures w14:val="none"/>
        </w:rPr>
        <w:t>quater(</w:t>
      </w:r>
      <w:proofErr w:type="gramEnd"/>
      <w:r w:rsidRPr="00FE7C0D">
        <w:rPr>
          <w:rFonts w:ascii="Lato" w:eastAsia="Times New Roman" w:hAnsi="Lato" w:cs="Times New Roman"/>
          <w:color w:val="0C0C0F"/>
          <w:kern w:val="0"/>
          <w:lang w:eastAsia="it-IT"/>
          <w14:ligatures w14:val="none"/>
        </w:rPr>
        <w:t>disciplina relativa agli altri scopi, quindi segnatamente a quelli commerciali).</w:t>
      </w:r>
    </w:p>
    <w:p w14:paraId="14988AEF" w14:textId="77777777" w:rsidR="00FE7C0D" w:rsidRPr="00FE7C0D" w:rsidRDefault="00FE7C0D" w:rsidP="00FE7C0D">
      <w:pPr>
        <w:spacing w:line="360" w:lineRule="auto"/>
        <w:jc w:val="both"/>
        <w:rPr>
          <w:rFonts w:ascii="Lato" w:eastAsia="Times New Roman" w:hAnsi="Lato" w:cs="Times New Roman"/>
          <w:color w:val="0C0C0F"/>
          <w:kern w:val="0"/>
          <w:lang w:eastAsia="it-IT"/>
          <w14:ligatures w14:val="none"/>
        </w:rPr>
      </w:pPr>
      <w:r w:rsidRPr="00FE7C0D">
        <w:rPr>
          <w:rFonts w:ascii="Lato" w:eastAsia="Times New Roman" w:hAnsi="Lato" w:cs="Times New Roman"/>
          <w:color w:val="0C0C0F"/>
          <w:kern w:val="0"/>
          <w:lang w:eastAsia="it-IT"/>
          <w14:ligatures w14:val="none"/>
        </w:rPr>
        <w:t xml:space="preserve">La condizione posta per l’attività è in ogni caso che l'accesso alle opere sia legittimo. In presenza di tali presupposti, però, le due disposizioni prevedono differenti discipline del c.d. </w:t>
      </w:r>
      <w:proofErr w:type="spellStart"/>
      <w:r w:rsidRPr="00FE7C0D">
        <w:rPr>
          <w:rFonts w:ascii="Lato" w:eastAsia="Times New Roman" w:hAnsi="Lato" w:cs="Times New Roman"/>
          <w:color w:val="0C0C0F"/>
          <w:kern w:val="0"/>
          <w:lang w:eastAsia="it-IT"/>
          <w14:ligatures w14:val="none"/>
        </w:rPr>
        <w:t>opt</w:t>
      </w:r>
      <w:proofErr w:type="spellEnd"/>
      <w:r w:rsidRPr="00FE7C0D">
        <w:rPr>
          <w:rFonts w:ascii="Lato" w:eastAsia="Times New Roman" w:hAnsi="Lato" w:cs="Times New Roman"/>
          <w:color w:val="0C0C0F"/>
          <w:kern w:val="0"/>
          <w:lang w:eastAsia="it-IT"/>
          <w14:ligatures w14:val="none"/>
        </w:rPr>
        <w:t xml:space="preserve">-out, cioè della facoltà per i titolari dei diritti di riservarsi espressamente l’utilizzo delle opere, impedendone l’estrazione. Infatti, se tale facoltà è prevista in relazione agli scopi commerciali di cui all’art. 70-quater, così non è per le finalità di ricerca scientifica in relazione alle attività compiute dai relativi </w:t>
      </w:r>
      <w:proofErr w:type="spellStart"/>
      <w:r w:rsidRPr="00FE7C0D">
        <w:rPr>
          <w:rFonts w:ascii="Lato" w:eastAsia="Times New Roman" w:hAnsi="Lato" w:cs="Times New Roman"/>
          <w:color w:val="0C0C0F"/>
          <w:kern w:val="0"/>
          <w:lang w:eastAsia="it-IT"/>
          <w14:ligatures w14:val="none"/>
        </w:rPr>
        <w:t>organisimi</w:t>
      </w:r>
      <w:proofErr w:type="spellEnd"/>
      <w:r w:rsidRPr="00FE7C0D">
        <w:rPr>
          <w:rFonts w:ascii="Lato" w:eastAsia="Times New Roman" w:hAnsi="Lato" w:cs="Times New Roman"/>
          <w:color w:val="0C0C0F"/>
          <w:kern w:val="0"/>
          <w:lang w:eastAsia="it-IT"/>
          <w14:ligatures w14:val="none"/>
        </w:rPr>
        <w:t xml:space="preserve"> e dagli istituti culturali.</w:t>
      </w:r>
    </w:p>
    <w:p w14:paraId="3B16A9AC" w14:textId="77777777" w:rsidR="00FE7C0D" w:rsidRPr="00FE7C0D" w:rsidRDefault="00FE7C0D" w:rsidP="00FE7C0D">
      <w:pPr>
        <w:spacing w:line="360" w:lineRule="auto"/>
        <w:jc w:val="both"/>
        <w:rPr>
          <w:rFonts w:ascii="Lato" w:eastAsia="Times New Roman" w:hAnsi="Lato" w:cs="Times New Roman"/>
          <w:color w:val="0C0C0F"/>
          <w:kern w:val="0"/>
          <w:lang w:eastAsia="it-IT"/>
          <w14:ligatures w14:val="none"/>
        </w:rPr>
      </w:pPr>
      <w:r w:rsidRPr="00FE7C0D">
        <w:rPr>
          <w:rFonts w:ascii="Lato" w:eastAsia="Times New Roman" w:hAnsi="Lato" w:cs="Times New Roman"/>
          <w:color w:val="0C0C0F"/>
          <w:kern w:val="0"/>
          <w:lang w:eastAsia="it-IT"/>
          <w14:ligatures w14:val="none"/>
        </w:rPr>
        <w:t xml:space="preserve">Il DDL sull’IA prevede, quindi l’introduzione, all’art. 171 della legge sul diritto d’autore, della norma di cui alla lettera a-ter), così da individuare e punire la condotta di reato del TDM abusivo o in ogni caso in violazione della disciplina prevista dagli art. 70-ter e 70-quater, mediante utilizzo di sistemi di IA. I sistemi di IA non possono, quindi, prelevare indiscriminatamente dati protetti da </w:t>
      </w:r>
      <w:proofErr w:type="gramStart"/>
      <w:r w:rsidRPr="00FE7C0D">
        <w:rPr>
          <w:rFonts w:ascii="Lato" w:eastAsia="Times New Roman" w:hAnsi="Lato" w:cs="Times New Roman"/>
          <w:color w:val="0C0C0F"/>
          <w:kern w:val="0"/>
          <w:lang w:eastAsia="it-IT"/>
          <w14:ligatures w14:val="none"/>
        </w:rPr>
        <w:t>copyright</w:t>
      </w:r>
      <w:proofErr w:type="gramEnd"/>
      <w:r w:rsidRPr="00FE7C0D">
        <w:rPr>
          <w:rFonts w:ascii="Lato" w:eastAsia="Times New Roman" w:hAnsi="Lato" w:cs="Times New Roman"/>
          <w:color w:val="0C0C0F"/>
          <w:kern w:val="0"/>
          <w:lang w:eastAsia="it-IT"/>
          <w14:ligatures w14:val="none"/>
        </w:rPr>
        <w:t xml:space="preserve"> per il loro addestramento o per generare nuovi contenuti, senza prima aver verificato la legittimità dell'accesso, nel rispetto delle eventuali scelte di </w:t>
      </w:r>
      <w:proofErr w:type="spellStart"/>
      <w:r w:rsidRPr="00FE7C0D">
        <w:rPr>
          <w:rFonts w:ascii="Lato" w:eastAsia="Times New Roman" w:hAnsi="Lato" w:cs="Times New Roman"/>
          <w:color w:val="0C0C0F"/>
          <w:kern w:val="0"/>
          <w:lang w:eastAsia="it-IT"/>
          <w14:ligatures w14:val="none"/>
        </w:rPr>
        <w:t>opt</w:t>
      </w:r>
      <w:proofErr w:type="spellEnd"/>
      <w:r w:rsidRPr="00FE7C0D">
        <w:rPr>
          <w:rFonts w:ascii="Lato" w:eastAsia="Times New Roman" w:hAnsi="Lato" w:cs="Times New Roman"/>
          <w:color w:val="0C0C0F"/>
          <w:kern w:val="0"/>
          <w:lang w:eastAsia="it-IT"/>
          <w14:ligatures w14:val="none"/>
        </w:rPr>
        <w:t>-out espresse dai titolari dei diritti. </w:t>
      </w:r>
    </w:p>
    <w:p w14:paraId="6F7803D2" w14:textId="77777777" w:rsidR="00FE7C0D" w:rsidRPr="00FE7C0D" w:rsidRDefault="00FE7C0D" w:rsidP="00FE7C0D">
      <w:pPr>
        <w:spacing w:line="360" w:lineRule="auto"/>
        <w:jc w:val="both"/>
        <w:rPr>
          <w:rFonts w:ascii="Lato" w:eastAsia="Times New Roman" w:hAnsi="Lato" w:cs="Times New Roman"/>
          <w:color w:val="0C0C0F"/>
          <w:kern w:val="0"/>
          <w:lang w:eastAsia="it-IT"/>
          <w14:ligatures w14:val="none"/>
        </w:rPr>
      </w:pPr>
      <w:r w:rsidRPr="00FE7C0D">
        <w:rPr>
          <w:rFonts w:ascii="Lato" w:eastAsia="Times New Roman" w:hAnsi="Lato" w:cs="Times New Roman"/>
          <w:color w:val="0C0C0F"/>
          <w:kern w:val="0"/>
          <w:lang w:eastAsia="it-IT"/>
          <w14:ligatures w14:val="none"/>
        </w:rPr>
        <w:t xml:space="preserve">Quanto alla verifica della legittimità dell'accesso ai dati o delle opzioni di </w:t>
      </w:r>
      <w:proofErr w:type="spellStart"/>
      <w:r w:rsidRPr="00FE7C0D">
        <w:rPr>
          <w:rFonts w:ascii="Lato" w:eastAsia="Times New Roman" w:hAnsi="Lato" w:cs="Times New Roman"/>
          <w:color w:val="0C0C0F"/>
          <w:kern w:val="0"/>
          <w:lang w:eastAsia="it-IT"/>
          <w14:ligatures w14:val="none"/>
        </w:rPr>
        <w:t>opt</w:t>
      </w:r>
      <w:proofErr w:type="spellEnd"/>
      <w:r w:rsidRPr="00FE7C0D">
        <w:rPr>
          <w:rFonts w:ascii="Lato" w:eastAsia="Times New Roman" w:hAnsi="Lato" w:cs="Times New Roman"/>
          <w:color w:val="0C0C0F"/>
          <w:kern w:val="0"/>
          <w:lang w:eastAsia="it-IT"/>
          <w14:ligatures w14:val="none"/>
        </w:rPr>
        <w:t>-out espresse dai titolari dei diritti, essa deve, quindi, essere progettata e implementata a monte da parte degli sviluppatori e degli operatori umani che gestiscono l'IA. Il sistema dovrà, pertanto, essere configurato, affinché esso acceda solo a fonti con licenze che consentono il TDM, rispettando i termini e le condizioni d'uso dei siti web.</w:t>
      </w:r>
    </w:p>
    <w:p w14:paraId="6A379569" w14:textId="77777777" w:rsidR="00FE7C0D" w:rsidRPr="00FE7C0D" w:rsidRDefault="00FE7C0D" w:rsidP="00FE7C0D">
      <w:pPr>
        <w:spacing w:line="360" w:lineRule="auto"/>
        <w:jc w:val="both"/>
        <w:rPr>
          <w:rFonts w:ascii="Lato" w:eastAsia="Times New Roman" w:hAnsi="Lato" w:cs="Times New Roman"/>
          <w:color w:val="0C0C0F"/>
          <w:kern w:val="0"/>
          <w:lang w:eastAsia="it-IT"/>
          <w14:ligatures w14:val="none"/>
        </w:rPr>
      </w:pPr>
      <w:r w:rsidRPr="00FE7C0D">
        <w:rPr>
          <w:rFonts w:ascii="Lato" w:eastAsia="Times New Roman" w:hAnsi="Lato" w:cs="Times New Roman"/>
          <w:color w:val="0C0C0F"/>
          <w:kern w:val="0"/>
          <w:lang w:eastAsia="it-IT"/>
          <w14:ligatures w14:val="none"/>
        </w:rPr>
        <w:t xml:space="preserve">È quanto accade normalmente, prevedendo per esempio la capacità di lettura automatizzata, da parte del sistema, di dati quali le informazioni contenute nei file robots.txt, le clausole esplicite di no-TDM, i metadati specifici inseriti nelle opere digitali, etc. Nel dibattito di settore si discute della creazione di registri standardizzati, che per mezzo delle API, cioè le </w:t>
      </w:r>
      <w:proofErr w:type="spellStart"/>
      <w:r w:rsidRPr="00FE7C0D">
        <w:rPr>
          <w:rFonts w:ascii="Lato" w:eastAsia="Times New Roman" w:hAnsi="Lato" w:cs="Times New Roman"/>
          <w:color w:val="0C0C0F"/>
          <w:kern w:val="0"/>
          <w:lang w:eastAsia="it-IT"/>
          <w14:ligatures w14:val="none"/>
        </w:rPr>
        <w:t>application</w:t>
      </w:r>
      <w:proofErr w:type="spellEnd"/>
      <w:r w:rsidRPr="00FE7C0D">
        <w:rPr>
          <w:rFonts w:ascii="Lato" w:eastAsia="Times New Roman" w:hAnsi="Lato" w:cs="Times New Roman"/>
          <w:color w:val="0C0C0F"/>
          <w:kern w:val="0"/>
          <w:lang w:eastAsia="it-IT"/>
          <w14:ligatures w14:val="none"/>
        </w:rPr>
        <w:t xml:space="preserve"> programming </w:t>
      </w:r>
      <w:proofErr w:type="spellStart"/>
      <w:r w:rsidRPr="00FE7C0D">
        <w:rPr>
          <w:rFonts w:ascii="Lato" w:eastAsia="Times New Roman" w:hAnsi="Lato" w:cs="Times New Roman"/>
          <w:color w:val="0C0C0F"/>
          <w:kern w:val="0"/>
          <w:lang w:eastAsia="it-IT"/>
          <w14:ligatures w14:val="none"/>
        </w:rPr>
        <w:t>interface</w:t>
      </w:r>
      <w:proofErr w:type="spellEnd"/>
      <w:r w:rsidRPr="00FE7C0D">
        <w:rPr>
          <w:rFonts w:ascii="Lato" w:eastAsia="Times New Roman" w:hAnsi="Lato" w:cs="Times New Roman"/>
          <w:color w:val="0C0C0F"/>
          <w:kern w:val="0"/>
          <w:lang w:eastAsia="it-IT"/>
          <w14:ligatures w14:val="none"/>
        </w:rPr>
        <w:t xml:space="preserve"> (le interfaccia di programmazione di un'applicazione), cioè quel set di definizioni e protocolli che permette a due applicazioni software di comunicare tra loro, così da consentire una migliore consultazione automatizzata delle preferenze dei titolari del diritto. Se in futuro esistessero dei registri centralizzati dove i titolari dei diritti </w:t>
      </w:r>
      <w:r w:rsidRPr="00FE7C0D">
        <w:rPr>
          <w:rFonts w:ascii="Lato" w:eastAsia="Times New Roman" w:hAnsi="Lato" w:cs="Times New Roman"/>
          <w:color w:val="0C0C0F"/>
          <w:kern w:val="0"/>
          <w:lang w:eastAsia="it-IT"/>
          <w14:ligatures w14:val="none"/>
        </w:rPr>
        <w:lastRenderedPageBreak/>
        <w:t xml:space="preserve">potessero registrare le volontà di </w:t>
      </w:r>
      <w:proofErr w:type="spellStart"/>
      <w:r w:rsidRPr="00FE7C0D">
        <w:rPr>
          <w:rFonts w:ascii="Lato" w:eastAsia="Times New Roman" w:hAnsi="Lato" w:cs="Times New Roman"/>
          <w:color w:val="0C0C0F"/>
          <w:kern w:val="0"/>
          <w:lang w:eastAsia="it-IT"/>
          <w14:ligatures w14:val="none"/>
        </w:rPr>
        <w:t>opt</w:t>
      </w:r>
      <w:proofErr w:type="spellEnd"/>
      <w:r w:rsidRPr="00FE7C0D">
        <w:rPr>
          <w:rFonts w:ascii="Lato" w:eastAsia="Times New Roman" w:hAnsi="Lato" w:cs="Times New Roman"/>
          <w:color w:val="0C0C0F"/>
          <w:kern w:val="0"/>
          <w:lang w:eastAsia="it-IT"/>
          <w14:ligatures w14:val="none"/>
        </w:rPr>
        <w:t xml:space="preserve">-out, in essi potrebbero essere impiegate delle API al riguardo, e il software che gestisce il sistema di IA potrebbe interrogare in modo automatizzato tali API per verificare, prima di procedere con il TDM, se un determinato contenuto sia stato contrassegnato o meno con un </w:t>
      </w:r>
      <w:proofErr w:type="spellStart"/>
      <w:r w:rsidRPr="00FE7C0D">
        <w:rPr>
          <w:rFonts w:ascii="Lato" w:eastAsia="Times New Roman" w:hAnsi="Lato" w:cs="Times New Roman"/>
          <w:color w:val="0C0C0F"/>
          <w:kern w:val="0"/>
          <w:lang w:eastAsia="it-IT"/>
          <w14:ligatures w14:val="none"/>
        </w:rPr>
        <w:t>opt</w:t>
      </w:r>
      <w:proofErr w:type="spellEnd"/>
      <w:r w:rsidRPr="00FE7C0D">
        <w:rPr>
          <w:rFonts w:ascii="Lato" w:eastAsia="Times New Roman" w:hAnsi="Lato" w:cs="Times New Roman"/>
          <w:color w:val="0C0C0F"/>
          <w:kern w:val="0"/>
          <w:lang w:eastAsia="it-IT"/>
          <w14:ligatures w14:val="none"/>
        </w:rPr>
        <w:t>-out.</w:t>
      </w:r>
    </w:p>
    <w:p w14:paraId="27414E61" w14:textId="77777777" w:rsidR="008E2FE0" w:rsidRDefault="008E2FE0" w:rsidP="00FE7C0D">
      <w:pPr>
        <w:spacing w:line="360" w:lineRule="auto"/>
        <w:jc w:val="both"/>
      </w:pPr>
    </w:p>
    <w:sectPr w:rsidR="008E2FE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oboto Slab">
    <w:panose1 w:val="00000000000000000000"/>
    <w:charset w:val="00"/>
    <w:family w:val="auto"/>
    <w:pitch w:val="variable"/>
    <w:sig w:usb0="000004FF" w:usb1="8000405F" w:usb2="00000022" w:usb3="00000000" w:csb0="0000019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90B2B"/>
    <w:multiLevelType w:val="multilevel"/>
    <w:tmpl w:val="5EC0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06A8"/>
    <w:multiLevelType w:val="multilevel"/>
    <w:tmpl w:val="0562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89768F"/>
    <w:multiLevelType w:val="multilevel"/>
    <w:tmpl w:val="1818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9476546">
    <w:abstractNumId w:val="1"/>
  </w:num>
  <w:num w:numId="2" w16cid:durableId="764498603">
    <w:abstractNumId w:val="2"/>
  </w:num>
  <w:num w:numId="3" w16cid:durableId="371077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C0D"/>
    <w:rsid w:val="00004DD0"/>
    <w:rsid w:val="00654824"/>
    <w:rsid w:val="008E2FE0"/>
    <w:rsid w:val="00FE7C0D"/>
    <w:rsid w:val="00FF0F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3E095"/>
  <w15:chartTrackingRefBased/>
  <w15:docId w15:val="{B80B0412-9875-5944-A01E-FA7E85F2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E7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FE7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E7C0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E7C0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E7C0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E7C0D"/>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E7C0D"/>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E7C0D"/>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E7C0D"/>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E7C0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FE7C0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E7C0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E7C0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E7C0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E7C0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E7C0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E7C0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E7C0D"/>
    <w:rPr>
      <w:rFonts w:eastAsiaTheme="majorEastAsia" w:cstheme="majorBidi"/>
      <w:color w:val="272727" w:themeColor="text1" w:themeTint="D8"/>
    </w:rPr>
  </w:style>
  <w:style w:type="paragraph" w:styleId="Titolo">
    <w:name w:val="Title"/>
    <w:basedOn w:val="Normale"/>
    <w:next w:val="Normale"/>
    <w:link w:val="TitoloCarattere"/>
    <w:uiPriority w:val="10"/>
    <w:qFormat/>
    <w:rsid w:val="00FE7C0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E7C0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E7C0D"/>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E7C0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E7C0D"/>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E7C0D"/>
    <w:rPr>
      <w:i/>
      <w:iCs/>
      <w:color w:val="404040" w:themeColor="text1" w:themeTint="BF"/>
    </w:rPr>
  </w:style>
  <w:style w:type="paragraph" w:styleId="Paragrafoelenco">
    <w:name w:val="List Paragraph"/>
    <w:basedOn w:val="Normale"/>
    <w:uiPriority w:val="34"/>
    <w:qFormat/>
    <w:rsid w:val="00FE7C0D"/>
    <w:pPr>
      <w:ind w:left="720"/>
      <w:contextualSpacing/>
    </w:pPr>
  </w:style>
  <w:style w:type="character" w:styleId="Enfasiintensa">
    <w:name w:val="Intense Emphasis"/>
    <w:basedOn w:val="Carpredefinitoparagrafo"/>
    <w:uiPriority w:val="21"/>
    <w:qFormat/>
    <w:rsid w:val="00FE7C0D"/>
    <w:rPr>
      <w:i/>
      <w:iCs/>
      <w:color w:val="0F4761" w:themeColor="accent1" w:themeShade="BF"/>
    </w:rPr>
  </w:style>
  <w:style w:type="paragraph" w:styleId="Citazioneintensa">
    <w:name w:val="Intense Quote"/>
    <w:basedOn w:val="Normale"/>
    <w:next w:val="Normale"/>
    <w:link w:val="CitazioneintensaCarattere"/>
    <w:uiPriority w:val="30"/>
    <w:qFormat/>
    <w:rsid w:val="00FE7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E7C0D"/>
    <w:rPr>
      <w:i/>
      <w:iCs/>
      <w:color w:val="0F4761" w:themeColor="accent1" w:themeShade="BF"/>
    </w:rPr>
  </w:style>
  <w:style w:type="character" w:styleId="Riferimentointenso">
    <w:name w:val="Intense Reference"/>
    <w:basedOn w:val="Carpredefinitoparagrafo"/>
    <w:uiPriority w:val="32"/>
    <w:qFormat/>
    <w:rsid w:val="00FE7C0D"/>
    <w:rPr>
      <w:b/>
      <w:bCs/>
      <w:smallCaps/>
      <w:color w:val="0F4761" w:themeColor="accent1" w:themeShade="BF"/>
      <w:spacing w:val="5"/>
    </w:rPr>
  </w:style>
  <w:style w:type="character" w:customStyle="1" w:styleId="apple-converted-space">
    <w:name w:val="apple-converted-space"/>
    <w:basedOn w:val="Carpredefinitoparagrafo"/>
    <w:rsid w:val="00FE7C0D"/>
  </w:style>
  <w:style w:type="character" w:styleId="Collegamentoipertestuale">
    <w:name w:val="Hyperlink"/>
    <w:basedOn w:val="Carpredefinitoparagrafo"/>
    <w:uiPriority w:val="99"/>
    <w:semiHidden/>
    <w:unhideWhenUsed/>
    <w:rsid w:val="00FE7C0D"/>
    <w:rPr>
      <w:color w:val="0000FF"/>
      <w:u w:val="single"/>
    </w:rPr>
  </w:style>
  <w:style w:type="paragraph" w:customStyle="1" w:styleId="article-tools-li-stampa">
    <w:name w:val="article-tools-li-stampa"/>
    <w:basedOn w:val="Normale"/>
    <w:rsid w:val="00FE7C0D"/>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article-tools-li-word">
    <w:name w:val="article-tools-li-word"/>
    <w:basedOn w:val="Normale"/>
    <w:rsid w:val="00FE7C0D"/>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article-tools-li-pdf">
    <w:name w:val="article-tools-li-pdf"/>
    <w:basedOn w:val="Normale"/>
    <w:rsid w:val="00FE7C0D"/>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article-tools-li-facebook">
    <w:name w:val="article-tools-li-facebook"/>
    <w:basedOn w:val="Normale"/>
    <w:rsid w:val="00FE7C0D"/>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article-tools-li-twitter">
    <w:name w:val="article-tools-li-twitter"/>
    <w:basedOn w:val="Normale"/>
    <w:rsid w:val="00FE7C0D"/>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article-tools-li-linkedin">
    <w:name w:val="article-tools-li-linkedin"/>
    <w:basedOn w:val="Normale"/>
    <w:rsid w:val="00FE7C0D"/>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article-tools-li-mail">
    <w:name w:val="article-tools-li-mail"/>
    <w:basedOn w:val="Normale"/>
    <w:rsid w:val="00FE7C0D"/>
    <w:pPr>
      <w:spacing w:before="100" w:beforeAutospacing="1" w:after="100" w:afterAutospacing="1"/>
    </w:pPr>
    <w:rPr>
      <w:rFonts w:ascii="Times New Roman" w:eastAsia="Times New Roman" w:hAnsi="Times New Roman" w:cs="Times New Roman"/>
      <w:kern w:val="0"/>
      <w:lang w:eastAsia="it-IT"/>
      <w14:ligatures w14:val="none"/>
    </w:rPr>
  </w:style>
  <w:style w:type="paragraph" w:styleId="NormaleWeb">
    <w:name w:val="Normal (Web)"/>
    <w:basedOn w:val="Normale"/>
    <w:uiPriority w:val="99"/>
    <w:semiHidden/>
    <w:unhideWhenUsed/>
    <w:rsid w:val="00FE7C0D"/>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FE7C0D"/>
    <w:rPr>
      <w:b/>
      <w:bCs/>
    </w:rPr>
  </w:style>
  <w:style w:type="character" w:styleId="Enfasicorsivo">
    <w:name w:val="Emphasis"/>
    <w:basedOn w:val="Carpredefinitoparagrafo"/>
    <w:uiPriority w:val="20"/>
    <w:qFormat/>
    <w:rsid w:val="00FE7C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talex.com/documents/news/2014/07/14/dei-delitti-contro-la-personalita-dello-stat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ltalex.com/documents/news/2014/12/09/del-reato" TargetMode="External"/><Relationship Id="rId12" Type="http://schemas.openxmlformats.org/officeDocument/2006/relationships/hyperlink" Target="https://www.altalex.com/documents/codici-altalex/2014/06/26/legge-sul-diritto-d-auto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talex.com/documents/news/2025/07/08/intelligenza-artificiale-diritto-penale-disegno-legge-codice-penale" TargetMode="External"/><Relationship Id="rId11" Type="http://schemas.openxmlformats.org/officeDocument/2006/relationships/hyperlink" Target="https://www.altalex.com/documents/news/2013/07/16/dei-delitti-contro-l-economia-pubblica-l-industria-e-il-commercio" TargetMode="External"/><Relationship Id="rId5" Type="http://schemas.openxmlformats.org/officeDocument/2006/relationships/hyperlink" Target="https://www.altalex.com/documents/news/2025/06/24/intelligenza-artificiale-diritto-penale-rivoluzione-concettuale" TargetMode="External"/><Relationship Id="rId10" Type="http://schemas.openxmlformats.org/officeDocument/2006/relationships/hyperlink" Target="https://www.altalex.com/documents/news/2013/11/26/disposizioni-penali-in-materia-di-societa-e-consorzi" TargetMode="External"/><Relationship Id="rId4" Type="http://schemas.openxmlformats.org/officeDocument/2006/relationships/webSettings" Target="webSettings.xml"/><Relationship Id="rId9" Type="http://schemas.openxmlformats.org/officeDocument/2006/relationships/hyperlink" Target="https://www.altalex.com/documents/codici-altalex/2013/12/19/costituzione-italiana"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2109</Words>
  <Characters>12024</Characters>
  <Application>Microsoft Office Word</Application>
  <DocSecurity>0</DocSecurity>
  <Lines>100</Lines>
  <Paragraphs>28</Paragraphs>
  <ScaleCrop>false</ScaleCrop>
  <Company/>
  <LinksUpToDate>false</LinksUpToDate>
  <CharactersWithSpaces>14105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LUQUE COLAUTTI</dc:creator>
  <cp:keywords/>
  <dc:description/>
  <cp:lastModifiedBy>ROCIO LUQUE COLAUTTI</cp:lastModifiedBy>
  <cp:revision>1</cp:revision>
  <dcterms:created xsi:type="dcterms:W3CDTF">2025-10-05T10:29:00Z</dcterms:created>
  <dcterms:modified xsi:type="dcterms:W3CDTF">2025-10-05T10:31:00Z</dcterms:modified>
</cp:coreProperties>
</file>