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8E8AD" w14:textId="77777777" w:rsidR="00B256D7" w:rsidRPr="00B256D7" w:rsidRDefault="00B256D7" w:rsidP="00B256D7">
      <w:pPr>
        <w:spacing w:before="600" w:after="240" w:line="240" w:lineRule="auto"/>
        <w:outlineLvl w:val="1"/>
        <w:rPr>
          <w:rFonts w:ascii="Arial" w:eastAsia="Times New Roman" w:hAnsi="Arial" w:cs="Arial"/>
          <w:color w:val="262B38"/>
          <w:sz w:val="36"/>
          <w:szCs w:val="36"/>
          <w:lang w:val="en-US" w:eastAsia="it-IT"/>
        </w:rPr>
      </w:pPr>
      <w:r w:rsidRPr="00B256D7">
        <w:rPr>
          <w:rFonts w:ascii="Arial" w:eastAsia="Times New Roman" w:hAnsi="Arial" w:cs="Arial"/>
          <w:color w:val="262B38"/>
          <w:sz w:val="36"/>
          <w:szCs w:val="36"/>
          <w:lang w:val="en-US" w:eastAsia="it-IT"/>
        </w:rPr>
        <w:t>Set-up and location</w:t>
      </w:r>
    </w:p>
    <w:p w14:paraId="2BE30CD1" w14:textId="77777777" w:rsidR="00B256D7" w:rsidRPr="00B256D7" w:rsidRDefault="00B256D7" w:rsidP="00B256D7">
      <w:pPr>
        <w:spacing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 xml:space="preserve">The European Union’s institutional set-up is unique and its decision-making system is constantly evolving. The 7 European institutions, 9 EU bodies and over 30 </w:t>
      </w:r>
      <w:proofErr w:type="spellStart"/>
      <w:r w:rsidRPr="00B256D7">
        <w:rPr>
          <w:rFonts w:ascii="Arial" w:eastAsia="Times New Roman" w:hAnsi="Arial" w:cs="Arial"/>
          <w:color w:val="515560"/>
          <w:sz w:val="24"/>
          <w:szCs w:val="24"/>
          <w:lang w:val="en-US" w:eastAsia="it-IT"/>
        </w:rPr>
        <w:t>decentralised</w:t>
      </w:r>
      <w:proofErr w:type="spellEnd"/>
      <w:r w:rsidRPr="00B256D7">
        <w:rPr>
          <w:rFonts w:ascii="Arial" w:eastAsia="Times New Roman" w:hAnsi="Arial" w:cs="Arial"/>
          <w:color w:val="515560"/>
          <w:sz w:val="24"/>
          <w:szCs w:val="24"/>
          <w:lang w:val="en-US" w:eastAsia="it-IT"/>
        </w:rPr>
        <w:t xml:space="preserve"> </w:t>
      </w:r>
      <w:proofErr w:type="spellStart"/>
      <w:r w:rsidRPr="00B256D7">
        <w:rPr>
          <w:rFonts w:ascii="Arial" w:eastAsia="Times New Roman" w:hAnsi="Arial" w:cs="Arial"/>
          <w:color w:val="515560"/>
          <w:sz w:val="24"/>
          <w:szCs w:val="24"/>
          <w:lang w:val="en-US" w:eastAsia="it-IT"/>
        </w:rPr>
        <w:t>organisations</w:t>
      </w:r>
      <w:proofErr w:type="spellEnd"/>
      <w:r w:rsidRPr="00B256D7">
        <w:rPr>
          <w:rFonts w:ascii="Arial" w:eastAsia="Times New Roman" w:hAnsi="Arial" w:cs="Arial"/>
          <w:color w:val="515560"/>
          <w:sz w:val="24"/>
          <w:szCs w:val="24"/>
          <w:lang w:val="en-US" w:eastAsia="it-IT"/>
        </w:rPr>
        <w:t xml:space="preserve"> are spread across the EU. They work together to address the common interests of the EU and European people. </w:t>
      </w:r>
    </w:p>
    <w:p w14:paraId="406F6AD8"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 xml:space="preserve">In terms of administration, there are over 20 EU agencies and </w:t>
      </w:r>
      <w:proofErr w:type="spellStart"/>
      <w:r w:rsidRPr="00B256D7">
        <w:rPr>
          <w:rFonts w:ascii="Arial" w:eastAsia="Times New Roman" w:hAnsi="Arial" w:cs="Arial"/>
          <w:color w:val="515560"/>
          <w:sz w:val="24"/>
          <w:szCs w:val="24"/>
          <w:lang w:val="en-US" w:eastAsia="it-IT"/>
        </w:rPr>
        <w:t>organisations</w:t>
      </w:r>
      <w:proofErr w:type="spellEnd"/>
      <w:r w:rsidRPr="00B256D7">
        <w:rPr>
          <w:rFonts w:ascii="Arial" w:eastAsia="Times New Roman" w:hAnsi="Arial" w:cs="Arial"/>
          <w:color w:val="515560"/>
          <w:sz w:val="24"/>
          <w:szCs w:val="24"/>
          <w:lang w:val="en-US" w:eastAsia="it-IT"/>
        </w:rPr>
        <w:t xml:space="preserve"> which carry out specific legal functions and 4 interinstitutional services which support the institutions.</w:t>
      </w:r>
    </w:p>
    <w:p w14:paraId="0D62ADCC"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All of these establishments have specific roles – from developing EU laws and policy-making to implementing policies and working on specialist areas, such as health, medicine, transport and the environment.</w:t>
      </w:r>
    </w:p>
    <w:p w14:paraId="1DB22FF9"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There are 4 main decision-making institutions which lead the EU’s administration. These institutions collectively provide the EU with policy direction and play different roles in the law-making process: </w:t>
      </w:r>
    </w:p>
    <w:p w14:paraId="57E71429" w14:textId="77777777" w:rsidR="00B256D7" w:rsidRPr="00B256D7" w:rsidRDefault="00B256D7" w:rsidP="00B256D7">
      <w:pPr>
        <w:numPr>
          <w:ilvl w:val="0"/>
          <w:numId w:val="1"/>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European Parliament (Brussels/Strasbourg/Luxembourg)</w:t>
      </w:r>
    </w:p>
    <w:p w14:paraId="56FD4548" w14:textId="77777777" w:rsidR="00B256D7" w:rsidRPr="00B256D7" w:rsidRDefault="00B256D7" w:rsidP="00B256D7">
      <w:pPr>
        <w:numPr>
          <w:ilvl w:val="0"/>
          <w:numId w:val="1"/>
        </w:numPr>
        <w:spacing w:before="100" w:beforeAutospacing="1" w:after="100" w:afterAutospacing="1" w:line="360" w:lineRule="atLeast"/>
        <w:ind w:left="0"/>
        <w:rPr>
          <w:rFonts w:ascii="Arial" w:eastAsia="Times New Roman" w:hAnsi="Arial" w:cs="Arial"/>
          <w:color w:val="262B38"/>
          <w:sz w:val="24"/>
          <w:szCs w:val="24"/>
          <w:lang w:eastAsia="it-IT"/>
        </w:rPr>
      </w:pPr>
      <w:r w:rsidRPr="00B256D7">
        <w:rPr>
          <w:rFonts w:ascii="Arial" w:eastAsia="Times New Roman" w:hAnsi="Arial" w:cs="Arial"/>
          <w:color w:val="262B38"/>
          <w:sz w:val="24"/>
          <w:szCs w:val="24"/>
          <w:lang w:eastAsia="it-IT"/>
        </w:rPr>
        <w:t xml:space="preserve">the </w:t>
      </w:r>
      <w:proofErr w:type="spellStart"/>
      <w:r w:rsidRPr="00B256D7">
        <w:rPr>
          <w:rFonts w:ascii="Arial" w:eastAsia="Times New Roman" w:hAnsi="Arial" w:cs="Arial"/>
          <w:color w:val="262B38"/>
          <w:sz w:val="24"/>
          <w:szCs w:val="24"/>
          <w:lang w:eastAsia="it-IT"/>
        </w:rPr>
        <w:t>European</w:t>
      </w:r>
      <w:proofErr w:type="spellEnd"/>
      <w:r w:rsidRPr="00B256D7">
        <w:rPr>
          <w:rFonts w:ascii="Arial" w:eastAsia="Times New Roman" w:hAnsi="Arial" w:cs="Arial"/>
          <w:color w:val="262B38"/>
          <w:sz w:val="24"/>
          <w:szCs w:val="24"/>
          <w:lang w:eastAsia="it-IT"/>
        </w:rPr>
        <w:t xml:space="preserve"> Council (</w:t>
      </w:r>
      <w:proofErr w:type="spellStart"/>
      <w:r w:rsidRPr="00B256D7">
        <w:rPr>
          <w:rFonts w:ascii="Arial" w:eastAsia="Times New Roman" w:hAnsi="Arial" w:cs="Arial"/>
          <w:color w:val="262B38"/>
          <w:sz w:val="24"/>
          <w:szCs w:val="24"/>
          <w:lang w:eastAsia="it-IT"/>
        </w:rPr>
        <w:t>Brussels</w:t>
      </w:r>
      <w:proofErr w:type="spellEnd"/>
      <w:r w:rsidRPr="00B256D7">
        <w:rPr>
          <w:rFonts w:ascii="Arial" w:eastAsia="Times New Roman" w:hAnsi="Arial" w:cs="Arial"/>
          <w:color w:val="262B38"/>
          <w:sz w:val="24"/>
          <w:szCs w:val="24"/>
          <w:lang w:eastAsia="it-IT"/>
        </w:rPr>
        <w:t>)</w:t>
      </w:r>
    </w:p>
    <w:p w14:paraId="4D57B392" w14:textId="77777777" w:rsidR="00B256D7" w:rsidRPr="00B256D7" w:rsidRDefault="00B256D7" w:rsidP="00B256D7">
      <w:pPr>
        <w:numPr>
          <w:ilvl w:val="0"/>
          <w:numId w:val="1"/>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Council of the European Union (Brussels/Luxembourg)</w:t>
      </w:r>
    </w:p>
    <w:p w14:paraId="3890CEC4" w14:textId="77777777" w:rsidR="00B256D7" w:rsidRPr="00B256D7" w:rsidRDefault="00B256D7" w:rsidP="00B256D7">
      <w:pPr>
        <w:numPr>
          <w:ilvl w:val="0"/>
          <w:numId w:val="1"/>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European Commission (Brussels/Luxembourg/Representations across the EU) </w:t>
      </w:r>
    </w:p>
    <w:p w14:paraId="2659102B"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Their work is complemented by other institutions and bodies, which include:</w:t>
      </w:r>
    </w:p>
    <w:p w14:paraId="41CE08BA" w14:textId="77777777" w:rsidR="00B256D7" w:rsidRPr="00B256D7" w:rsidRDefault="00B256D7" w:rsidP="00B256D7">
      <w:pPr>
        <w:numPr>
          <w:ilvl w:val="0"/>
          <w:numId w:val="2"/>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Court of Justice of the European Union (Luxembourg)</w:t>
      </w:r>
    </w:p>
    <w:p w14:paraId="1831AFE0" w14:textId="77777777" w:rsidR="00B256D7" w:rsidRPr="00B256D7" w:rsidRDefault="00B256D7" w:rsidP="00B256D7">
      <w:pPr>
        <w:numPr>
          <w:ilvl w:val="0"/>
          <w:numId w:val="2"/>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European Central Bank (Frankfurt)</w:t>
      </w:r>
    </w:p>
    <w:p w14:paraId="4534D1DB" w14:textId="77777777" w:rsidR="00B256D7" w:rsidRPr="00B256D7" w:rsidRDefault="00B256D7" w:rsidP="00B256D7">
      <w:pPr>
        <w:numPr>
          <w:ilvl w:val="0"/>
          <w:numId w:val="2"/>
        </w:numPr>
        <w:spacing w:before="100" w:beforeAutospacing="1" w:after="100" w:afterAutospacing="1" w:line="360" w:lineRule="atLeast"/>
        <w:ind w:left="0"/>
        <w:rPr>
          <w:rFonts w:ascii="Arial" w:eastAsia="Times New Roman" w:hAnsi="Arial" w:cs="Arial"/>
          <w:color w:val="262B38"/>
          <w:sz w:val="24"/>
          <w:szCs w:val="24"/>
          <w:lang w:val="en-US" w:eastAsia="it-IT"/>
        </w:rPr>
      </w:pPr>
      <w:r w:rsidRPr="00B256D7">
        <w:rPr>
          <w:rFonts w:ascii="Arial" w:eastAsia="Times New Roman" w:hAnsi="Arial" w:cs="Arial"/>
          <w:color w:val="262B38"/>
          <w:sz w:val="24"/>
          <w:szCs w:val="24"/>
          <w:lang w:val="en-US" w:eastAsia="it-IT"/>
        </w:rPr>
        <w:t>the European Court of Auditors (Luxembourg)</w:t>
      </w:r>
    </w:p>
    <w:p w14:paraId="1663A237"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 xml:space="preserve">The EU institutions and bodies cooperate extensively with the network of EU agencies and </w:t>
      </w:r>
      <w:proofErr w:type="spellStart"/>
      <w:r w:rsidRPr="00B256D7">
        <w:rPr>
          <w:rFonts w:ascii="Arial" w:eastAsia="Times New Roman" w:hAnsi="Arial" w:cs="Arial"/>
          <w:color w:val="515560"/>
          <w:sz w:val="24"/>
          <w:szCs w:val="24"/>
          <w:lang w:val="en-US" w:eastAsia="it-IT"/>
        </w:rPr>
        <w:t>organisations</w:t>
      </w:r>
      <w:proofErr w:type="spellEnd"/>
      <w:r w:rsidRPr="00B256D7">
        <w:rPr>
          <w:rFonts w:ascii="Arial" w:eastAsia="Times New Roman" w:hAnsi="Arial" w:cs="Arial"/>
          <w:color w:val="515560"/>
          <w:sz w:val="24"/>
          <w:szCs w:val="24"/>
          <w:lang w:val="en-US" w:eastAsia="it-IT"/>
        </w:rPr>
        <w:t xml:space="preserve"> across the European Union. The primary function of these bodies and agencies is to translate policies into realities on the ground.</w:t>
      </w:r>
    </w:p>
    <w:p w14:paraId="0752E1CA"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Around 60,000 EU civil servants and other staff serve the 450 million Europeans (and countless others around the world). This is actually a relatively small number - the French Finance Ministry has around 140,000 staff for a population of only 67 million</w:t>
      </w:r>
      <w:r w:rsidRPr="00B256D7">
        <w:rPr>
          <w:rFonts w:ascii="Arial" w:eastAsia="Times New Roman" w:hAnsi="Arial" w:cs="Arial"/>
          <w:b/>
          <w:bCs/>
          <w:color w:val="515560"/>
          <w:sz w:val="24"/>
          <w:szCs w:val="24"/>
          <w:lang w:val="en-US" w:eastAsia="it-IT"/>
        </w:rPr>
        <w:t>.</w:t>
      </w:r>
    </w:p>
    <w:p w14:paraId="11ACB2A4" w14:textId="77777777" w:rsidR="00B256D7" w:rsidRPr="00B256D7" w:rsidRDefault="00B256D7" w:rsidP="00B256D7">
      <w:pPr>
        <w:spacing w:beforeAutospacing="1" w:after="0" w:line="360" w:lineRule="atLeast"/>
        <w:rPr>
          <w:rFonts w:ascii="Arial" w:eastAsia="Times New Roman" w:hAnsi="Arial" w:cs="Arial"/>
          <w:color w:val="515560"/>
          <w:sz w:val="24"/>
          <w:szCs w:val="24"/>
          <w:lang w:val="en-US" w:eastAsia="it-IT"/>
        </w:rPr>
      </w:pPr>
      <w:hyperlink r:id="rId8" w:history="1">
        <w:r w:rsidRPr="00B256D7">
          <w:rPr>
            <w:rFonts w:ascii="Arial" w:eastAsia="Times New Roman" w:hAnsi="Arial" w:cs="Arial"/>
            <w:color w:val="0E47CB"/>
            <w:sz w:val="24"/>
            <w:szCs w:val="24"/>
            <w:u w:val="single"/>
            <w:lang w:val="en-US" w:eastAsia="it-IT"/>
          </w:rPr>
          <w:t>Key facts and figures</w:t>
        </w:r>
      </w:hyperlink>
    </w:p>
    <w:p w14:paraId="294DF028" w14:textId="77777777" w:rsidR="00B256D7" w:rsidRPr="00B256D7" w:rsidRDefault="00B256D7" w:rsidP="00B256D7">
      <w:pPr>
        <w:spacing w:before="600" w:after="240" w:line="240" w:lineRule="auto"/>
        <w:outlineLvl w:val="1"/>
        <w:rPr>
          <w:rFonts w:ascii="Arial" w:eastAsia="Times New Roman" w:hAnsi="Arial" w:cs="Arial"/>
          <w:color w:val="262B38"/>
          <w:sz w:val="36"/>
          <w:szCs w:val="36"/>
          <w:lang w:val="en-US" w:eastAsia="it-IT"/>
        </w:rPr>
      </w:pPr>
      <w:r w:rsidRPr="00B256D7">
        <w:rPr>
          <w:rFonts w:ascii="Arial" w:eastAsia="Times New Roman" w:hAnsi="Arial" w:cs="Arial"/>
          <w:color w:val="262B38"/>
          <w:sz w:val="36"/>
          <w:szCs w:val="36"/>
          <w:lang w:val="en-US" w:eastAsia="it-IT"/>
        </w:rPr>
        <w:lastRenderedPageBreak/>
        <w:t>Institutions</w:t>
      </w:r>
    </w:p>
    <w:p w14:paraId="2E02F950" w14:textId="77777777" w:rsidR="00B256D7" w:rsidRPr="00B256D7" w:rsidRDefault="00B256D7" w:rsidP="00B256D7">
      <w:pPr>
        <w:spacing w:after="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The powers, responsibilities and procedures of the EU’s institutions are laid down in the founding treaties of the EU: the </w:t>
      </w:r>
      <w:hyperlink r:id="rId9" w:history="1">
        <w:r w:rsidRPr="00B256D7">
          <w:rPr>
            <w:rFonts w:ascii="Arial" w:eastAsia="Times New Roman" w:hAnsi="Arial" w:cs="Arial"/>
            <w:color w:val="0E47CB"/>
            <w:sz w:val="24"/>
            <w:szCs w:val="24"/>
            <w:u w:val="single"/>
            <w:lang w:val="en-US" w:eastAsia="it-IT"/>
          </w:rPr>
          <w:t>Treaty on the Functioning of the European Union</w:t>
        </w:r>
      </w:hyperlink>
      <w:r w:rsidRPr="00B256D7">
        <w:rPr>
          <w:rFonts w:ascii="Arial" w:eastAsia="Times New Roman" w:hAnsi="Arial" w:cs="Arial"/>
          <w:color w:val="515560"/>
          <w:sz w:val="24"/>
          <w:szCs w:val="24"/>
          <w:lang w:val="en-US" w:eastAsia="it-IT"/>
        </w:rPr>
        <w:t xml:space="preserve"> (1957) </w:t>
      </w:r>
      <w:bookmarkStart w:id="0" w:name="_GoBack"/>
      <w:r w:rsidRPr="00B256D7">
        <w:rPr>
          <w:rFonts w:ascii="Arial" w:eastAsia="Times New Roman" w:hAnsi="Arial" w:cs="Arial"/>
          <w:color w:val="515560"/>
          <w:sz w:val="24"/>
          <w:szCs w:val="24"/>
          <w:lang w:val="en-US" w:eastAsia="it-IT"/>
        </w:rPr>
        <w:t>and the </w:t>
      </w:r>
      <w:hyperlink r:id="rId10" w:history="1">
        <w:r w:rsidRPr="00B256D7">
          <w:rPr>
            <w:rFonts w:ascii="Arial" w:eastAsia="Times New Roman" w:hAnsi="Arial" w:cs="Arial"/>
            <w:color w:val="0E47CB"/>
            <w:sz w:val="24"/>
            <w:szCs w:val="24"/>
            <w:u w:val="single"/>
            <w:lang w:val="en-US" w:eastAsia="it-IT"/>
          </w:rPr>
          <w:t>Treaty on European Union</w:t>
        </w:r>
      </w:hyperlink>
      <w:r w:rsidRPr="00B256D7">
        <w:rPr>
          <w:rFonts w:ascii="Arial" w:eastAsia="Times New Roman" w:hAnsi="Arial" w:cs="Arial"/>
          <w:color w:val="515560"/>
          <w:sz w:val="24"/>
          <w:szCs w:val="24"/>
          <w:lang w:val="en-US" w:eastAsia="it-IT"/>
        </w:rPr>
        <w:t> (1992). More recently, </w:t>
      </w:r>
      <w:hyperlink r:id="rId11" w:history="1">
        <w:r w:rsidRPr="00B256D7">
          <w:rPr>
            <w:rFonts w:ascii="Arial" w:eastAsia="Times New Roman" w:hAnsi="Arial" w:cs="Arial"/>
            <w:color w:val="0E47CB"/>
            <w:sz w:val="24"/>
            <w:szCs w:val="24"/>
            <w:u w:val="single"/>
            <w:lang w:val="en-US" w:eastAsia="it-IT"/>
          </w:rPr>
          <w:t>the Lisbon Treaty</w:t>
        </w:r>
      </w:hyperlink>
      <w:r w:rsidRPr="00B256D7">
        <w:rPr>
          <w:rFonts w:ascii="Arial" w:eastAsia="Times New Roman" w:hAnsi="Arial" w:cs="Arial"/>
          <w:color w:val="515560"/>
          <w:sz w:val="24"/>
          <w:szCs w:val="24"/>
          <w:lang w:val="en-US" w:eastAsia="it-IT"/>
        </w:rPr>
        <w:t xml:space="preserve"> (2007) </w:t>
      </w:r>
      <w:bookmarkEnd w:id="0"/>
      <w:r w:rsidRPr="00B256D7">
        <w:rPr>
          <w:rFonts w:ascii="Arial" w:eastAsia="Times New Roman" w:hAnsi="Arial" w:cs="Arial"/>
          <w:color w:val="515560"/>
          <w:sz w:val="24"/>
          <w:szCs w:val="24"/>
          <w:lang w:val="en-US" w:eastAsia="it-IT"/>
        </w:rPr>
        <w:t>introduced certain amendments and additions to their competencies.  </w:t>
      </w:r>
    </w:p>
    <w:p w14:paraId="4323302E" w14:textId="77777777" w:rsidR="00B256D7" w:rsidRPr="00B256D7" w:rsidRDefault="00B256D7" w:rsidP="00B256D7">
      <w:pPr>
        <w:spacing w:before="100" w:beforeAutospacing="1" w:after="10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The 4 main EU institutions, with their distinct functions, work together closely to set the EU’s agenda and initiate and coordinate EU law-making. </w:t>
      </w:r>
    </w:p>
    <w:p w14:paraId="37FC1E71" w14:textId="77777777" w:rsidR="00B256D7" w:rsidRPr="00B256D7" w:rsidRDefault="00B256D7" w:rsidP="00B256D7">
      <w:pPr>
        <w:spacing w:beforeAutospacing="1" w:after="0" w:afterAutospacing="1"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In general, the European Council does not make laws. However, it can agree on changes in the Treaty on the Functioning of the EU. Its main role is to determine the EU’s political direction. In most cases, the European Parliament, the Council of the European Union and the European Commission produce the policies and laws that apply throughout the EU. The process they follow is called the </w:t>
      </w:r>
      <w:hyperlink r:id="rId12" w:history="1">
        <w:r w:rsidRPr="00B256D7">
          <w:rPr>
            <w:rFonts w:ascii="Arial" w:eastAsia="Times New Roman" w:hAnsi="Arial" w:cs="Arial"/>
            <w:color w:val="0E47CB"/>
            <w:sz w:val="24"/>
            <w:szCs w:val="24"/>
            <w:u w:val="single"/>
            <w:lang w:val="en-US" w:eastAsia="it-IT"/>
          </w:rPr>
          <w:t>Ordinary Legislative Procedure</w:t>
        </w:r>
      </w:hyperlink>
      <w:r w:rsidRPr="00B256D7">
        <w:rPr>
          <w:rFonts w:ascii="Arial" w:eastAsia="Times New Roman" w:hAnsi="Arial" w:cs="Arial"/>
          <w:color w:val="515560"/>
          <w:sz w:val="24"/>
          <w:szCs w:val="24"/>
          <w:lang w:val="en-US" w:eastAsia="it-IT"/>
        </w:rPr>
        <w:t>.</w:t>
      </w:r>
    </w:p>
    <w:p w14:paraId="58434416" w14:textId="7F443127" w:rsidR="007E3FD4" w:rsidRPr="001D0DA1" w:rsidRDefault="00B256D7" w:rsidP="001D0DA1">
      <w:pPr>
        <w:spacing w:before="100" w:beforeAutospacing="1" w:after="0" w:line="360" w:lineRule="atLeast"/>
        <w:rPr>
          <w:rFonts w:ascii="Arial" w:eastAsia="Times New Roman" w:hAnsi="Arial" w:cs="Arial"/>
          <w:color w:val="515560"/>
          <w:sz w:val="24"/>
          <w:szCs w:val="24"/>
          <w:lang w:val="en-US" w:eastAsia="it-IT"/>
        </w:rPr>
      </w:pPr>
      <w:r w:rsidRPr="00B256D7">
        <w:rPr>
          <w:rFonts w:ascii="Arial" w:eastAsia="Times New Roman" w:hAnsi="Arial" w:cs="Arial"/>
          <w:color w:val="515560"/>
          <w:sz w:val="24"/>
          <w:szCs w:val="24"/>
          <w:lang w:val="en-US" w:eastAsia="it-IT"/>
        </w:rPr>
        <w:t>In principle, the Commission proposes new laws, and the Parliament and Council of the European Union adopt them. The member countries then implement them, and the Commission ensures that the laws are properly applied.</w:t>
      </w:r>
    </w:p>
    <w:sectPr w:rsidR="007E3FD4" w:rsidRPr="001D0D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6BE"/>
    <w:multiLevelType w:val="multilevel"/>
    <w:tmpl w:val="A9F4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FE60BC"/>
    <w:multiLevelType w:val="multilevel"/>
    <w:tmpl w:val="947A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D7"/>
    <w:rsid w:val="00036100"/>
    <w:rsid w:val="001D0DA1"/>
    <w:rsid w:val="006C3A6B"/>
    <w:rsid w:val="00A14FCC"/>
    <w:rsid w:val="00B25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405A"/>
  <w15:chartTrackingRefBased/>
  <w15:docId w15:val="{D57BCE47-DD33-411C-92F8-B6DCA964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B256D7"/>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256D7"/>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B256D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256D7"/>
    <w:rPr>
      <w:b/>
      <w:bCs/>
    </w:rPr>
  </w:style>
  <w:style w:type="character" w:styleId="Collegamentoipertestuale">
    <w:name w:val="Hyperlink"/>
    <w:basedOn w:val="Carpredefinitoparagrafo"/>
    <w:uiPriority w:val="99"/>
    <w:semiHidden/>
    <w:unhideWhenUsed/>
    <w:rsid w:val="00B25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3801">
      <w:bodyDiv w:val="1"/>
      <w:marLeft w:val="0"/>
      <w:marRight w:val="0"/>
      <w:marTop w:val="0"/>
      <w:marBottom w:val="0"/>
      <w:divBdr>
        <w:top w:val="none" w:sz="0" w:space="0" w:color="auto"/>
        <w:left w:val="none" w:sz="0" w:space="0" w:color="auto"/>
        <w:bottom w:val="none" w:sz="0" w:space="0" w:color="auto"/>
        <w:right w:val="none" w:sz="0" w:space="0" w:color="auto"/>
      </w:divBdr>
      <w:divsChild>
        <w:div w:id="1386290902">
          <w:marLeft w:val="0"/>
          <w:marRight w:val="0"/>
          <w:marTop w:val="0"/>
          <w:marBottom w:val="0"/>
          <w:divBdr>
            <w:top w:val="none" w:sz="0" w:space="0" w:color="auto"/>
            <w:left w:val="none" w:sz="0" w:space="0" w:color="auto"/>
            <w:bottom w:val="none" w:sz="0" w:space="0" w:color="auto"/>
            <w:right w:val="none" w:sz="0" w:space="0" w:color="auto"/>
          </w:divBdr>
          <w:divsChild>
            <w:div w:id="1423837687">
              <w:marLeft w:val="0"/>
              <w:marRight w:val="0"/>
              <w:marTop w:val="0"/>
              <w:marBottom w:val="0"/>
              <w:divBdr>
                <w:top w:val="none" w:sz="0" w:space="0" w:color="auto"/>
                <w:left w:val="none" w:sz="0" w:space="0" w:color="auto"/>
                <w:bottom w:val="none" w:sz="0" w:space="0" w:color="auto"/>
                <w:right w:val="none" w:sz="0" w:space="0" w:color="auto"/>
              </w:divBdr>
              <w:divsChild>
                <w:div w:id="1637024281">
                  <w:marLeft w:val="0"/>
                  <w:marRight w:val="0"/>
                  <w:marTop w:val="0"/>
                  <w:marBottom w:val="0"/>
                  <w:divBdr>
                    <w:top w:val="none" w:sz="0" w:space="0" w:color="auto"/>
                    <w:left w:val="none" w:sz="0" w:space="0" w:color="auto"/>
                    <w:bottom w:val="none" w:sz="0" w:space="0" w:color="auto"/>
                    <w:right w:val="none" w:sz="0" w:space="0" w:color="auto"/>
                  </w:divBdr>
                </w:div>
                <w:div w:id="20904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511">
          <w:marLeft w:val="0"/>
          <w:marRight w:val="0"/>
          <w:marTop w:val="0"/>
          <w:marBottom w:val="0"/>
          <w:divBdr>
            <w:top w:val="none" w:sz="0" w:space="0" w:color="auto"/>
            <w:left w:val="none" w:sz="0" w:space="0" w:color="auto"/>
            <w:bottom w:val="none" w:sz="0" w:space="0" w:color="auto"/>
            <w:right w:val="none" w:sz="0" w:space="0" w:color="auto"/>
          </w:divBdr>
          <w:divsChild>
            <w:div w:id="401147922">
              <w:marLeft w:val="0"/>
              <w:marRight w:val="0"/>
              <w:marTop w:val="0"/>
              <w:marBottom w:val="0"/>
              <w:divBdr>
                <w:top w:val="none" w:sz="0" w:space="0" w:color="auto"/>
                <w:left w:val="none" w:sz="0" w:space="0" w:color="auto"/>
                <w:bottom w:val="none" w:sz="0" w:space="0" w:color="auto"/>
                <w:right w:val="none" w:sz="0" w:space="0" w:color="auto"/>
              </w:divBdr>
              <w:divsChild>
                <w:div w:id="38674336">
                  <w:marLeft w:val="0"/>
                  <w:marRight w:val="0"/>
                  <w:marTop w:val="0"/>
                  <w:marBottom w:val="0"/>
                  <w:divBdr>
                    <w:top w:val="none" w:sz="0" w:space="0" w:color="auto"/>
                    <w:left w:val="none" w:sz="0" w:space="0" w:color="auto"/>
                    <w:bottom w:val="none" w:sz="0" w:space="0" w:color="auto"/>
                    <w:right w:val="none" w:sz="0" w:space="0" w:color="auto"/>
                  </w:divBdr>
                </w:div>
                <w:div w:id="13883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ean-union.europa.eu/principles-countries-history/facts-and-figures-european-union_e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uroparl.europa.eu/aboutparliament/en/20150201PVL00004/Legislative-pow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12007L/TXT" TargetMode="External"/><Relationship Id="rId5" Type="http://schemas.openxmlformats.org/officeDocument/2006/relationships/styles" Target="styles.xml"/><Relationship Id="rId10" Type="http://schemas.openxmlformats.org/officeDocument/2006/relationships/hyperlink" Target="https://eur-lex.europa.eu/resource.html?uri=cellar:2bf140bf-a3f8-4ab2-b506-fd71826e6da6.0023.02/DOC_1&amp;format=PDF" TargetMode="External"/><Relationship Id="rId4" Type="http://schemas.openxmlformats.org/officeDocument/2006/relationships/numbering" Target="numbering.xml"/><Relationship Id="rId9" Type="http://schemas.openxmlformats.org/officeDocument/2006/relationships/hyperlink" Target="https://eur-lex.europa.eu/legal-content/EN/TXT/?uri=celex:12012E/TX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B45E9F5C-6A5A-4552-91BD-0BDC44403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ED71C-259B-484A-848D-FBE5E747B942}">
  <ds:schemaRefs>
    <ds:schemaRef ds:uri="http://schemas.microsoft.com/sharepoint/v3/contenttype/forms"/>
  </ds:schemaRefs>
</ds:datastoreItem>
</file>

<file path=customXml/itemProps3.xml><?xml version="1.0" encoding="utf-8"?>
<ds:datastoreItem xmlns:ds="http://schemas.openxmlformats.org/officeDocument/2006/customXml" ds:itemID="{29C74756-A391-45F7-BD98-D9D056772DDC}">
  <ds:schemaRefs>
    <ds:schemaRef ds:uri="e1e98898-a0dd-49e6-bbb3-d9325b830a7c"/>
    <ds:schemaRef ds:uri="http://purl.org/dc/elements/1.1/"/>
    <ds:schemaRef ds:uri="http://www.w3.org/XML/1998/namespace"/>
    <ds:schemaRef ds:uri="7b36cd2a-e416-480d-8cb2-6a1b4c5e9ba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cp:lastPrinted>2026-01-12T12:15:00Z</cp:lastPrinted>
  <dcterms:created xsi:type="dcterms:W3CDTF">2026-01-12T12:21:00Z</dcterms:created>
  <dcterms:modified xsi:type="dcterms:W3CDTF">2026-01-12T12:21:00Z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