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A27B" w14:textId="77777777" w:rsidR="008F1C7F" w:rsidRDefault="008F1C7F" w:rsidP="008F1C7F">
      <w:pPr>
        <w:rPr>
          <w:rFonts w:ascii="Times New Roman" w:hAnsi="Times New Roman"/>
          <w:lang w:val="en-GB"/>
        </w:rPr>
      </w:pPr>
    </w:p>
    <w:p w14:paraId="71E5573D" w14:textId="230D0305" w:rsidR="008F1C7F" w:rsidRDefault="008F1C7F" w:rsidP="008F1C7F">
      <w:pPr>
        <w:rPr>
          <w:i/>
          <w:iCs/>
          <w:lang w:val="en-US"/>
        </w:rPr>
      </w:pPr>
      <w:r>
        <w:rPr>
          <w:rFonts w:ascii="Times New Roman" w:hAnsi="Times New Roman"/>
          <w:i/>
          <w:iCs/>
          <w:lang w:val="en-GB"/>
        </w:rPr>
        <w:t xml:space="preserve">Translate the following text into English. Remember to include at the end of your translation </w:t>
      </w:r>
      <w:r w:rsidR="00647319">
        <w:rPr>
          <w:rFonts w:ascii="Times New Roman" w:hAnsi="Times New Roman"/>
          <w:i/>
          <w:iCs/>
          <w:lang w:val="en-GB"/>
        </w:rPr>
        <w:t xml:space="preserve">a </w:t>
      </w:r>
      <w:r>
        <w:rPr>
          <w:rFonts w:ascii="Times New Roman" w:hAnsi="Times New Roman"/>
          <w:i/>
          <w:iCs/>
          <w:lang w:val="en-GB"/>
        </w:rPr>
        <w:t>note indicating relevant translation problems and your proposed solutions, in particular any</w:t>
      </w:r>
      <w:r w:rsidR="00647319">
        <w:rPr>
          <w:rFonts w:ascii="Times New Roman" w:hAnsi="Times New Roman"/>
          <w:i/>
          <w:iCs/>
          <w:lang w:val="en-GB"/>
        </w:rPr>
        <w:t xml:space="preserve"> </w:t>
      </w:r>
      <w:r>
        <w:rPr>
          <w:rFonts w:ascii="Times New Roman" w:hAnsi="Times New Roman"/>
          <w:i/>
          <w:iCs/>
          <w:lang w:val="en-GB"/>
        </w:rPr>
        <w:t>elements of localization that may need to be considered.</w:t>
      </w:r>
    </w:p>
    <w:p w14:paraId="0650BD7E" w14:textId="77777777" w:rsidR="008F1C7F" w:rsidRDefault="008F1C7F" w:rsidP="008F1C7F">
      <w:pPr>
        <w:rPr>
          <w:rFonts w:ascii="Avenir Book" w:hAnsi="Avenir Book"/>
          <w:lang w:val="en-US"/>
        </w:rPr>
      </w:pPr>
    </w:p>
    <w:p w14:paraId="628247B0" w14:textId="77777777" w:rsidR="008F1C7F" w:rsidRPr="006A1549" w:rsidRDefault="008F1C7F" w:rsidP="008F1C7F">
      <w:pPr>
        <w:rPr>
          <w:rFonts w:ascii="Avenir Book" w:hAnsi="Avenir Book"/>
          <w:lang w:val="en-US"/>
        </w:rPr>
      </w:pPr>
    </w:p>
    <w:p w14:paraId="3B051EA1" w14:textId="77777777" w:rsidR="008F1C7F" w:rsidRPr="006A1549" w:rsidRDefault="008F1C7F" w:rsidP="008F1C7F">
      <w:pPr>
        <w:rPr>
          <w:rFonts w:ascii="Avenir Book" w:hAnsi="Avenir Book"/>
          <w:lang w:val="en-US"/>
        </w:rPr>
      </w:pPr>
    </w:p>
    <w:p w14:paraId="4E74CB59" w14:textId="77777777" w:rsidR="008F1C7F" w:rsidRPr="006A1549" w:rsidRDefault="008F1C7F" w:rsidP="008F1C7F">
      <w:pPr>
        <w:pStyle w:val="Heading4"/>
        <w:numPr>
          <w:ilvl w:val="3"/>
          <w:numId w:val="3"/>
        </w:numPr>
        <w:jc w:val="both"/>
        <w:rPr>
          <w:rFonts w:ascii="Avenir Book" w:eastAsia="Calibri" w:hAnsi="Avenir Book" w:cs="Times New Roman"/>
          <w:b w:val="0"/>
          <w:bCs w:val="0"/>
        </w:rPr>
      </w:pPr>
      <w:r w:rsidRPr="006A1549">
        <w:rPr>
          <w:rFonts w:ascii="Avenir Book" w:eastAsia="Calibri" w:hAnsi="Avenir Book" w:cs="Times New Roman"/>
          <w:b w:val="0"/>
          <w:bCs w:val="0"/>
        </w:rPr>
        <w:t>La Puglia: un piccolo continente</w:t>
      </w:r>
    </w:p>
    <w:p w14:paraId="71A9EC65" w14:textId="77777777" w:rsidR="008F1C7F" w:rsidRPr="006A1549" w:rsidRDefault="008F1C7F" w:rsidP="008F1C7F">
      <w:pPr>
        <w:numPr>
          <w:ilvl w:val="0"/>
          <w:numId w:val="3"/>
        </w:numPr>
        <w:rPr>
          <w:rFonts w:ascii="Avenir Book" w:hAnsi="Avenir Book"/>
        </w:rPr>
      </w:pPr>
    </w:p>
    <w:p w14:paraId="1EDEE172" w14:textId="77777777" w:rsidR="008F1C7F" w:rsidRPr="006A1549" w:rsidRDefault="008F1C7F" w:rsidP="008F1C7F">
      <w:pPr>
        <w:numPr>
          <w:ilvl w:val="0"/>
          <w:numId w:val="3"/>
        </w:numPr>
        <w:rPr>
          <w:rFonts w:ascii="Avenir Book" w:hAnsi="Avenir Book"/>
        </w:rPr>
      </w:pPr>
      <w:r w:rsidRPr="006A1549">
        <w:rPr>
          <w:rFonts w:ascii="Avenir Book" w:hAnsi="Avenir Book"/>
          <w:shd w:val="clear" w:color="auto" w:fill="FFFFFF"/>
        </w:rPr>
        <w:t>La Puglia è una regione nella quale, ancora oggi, sono ben presenti tradizioni ed elementi arcaici ricchi di suggestione, che convivono con una spiccata creatività e l’apertura verso l'esterno che è alla base della cultura popolare pugliese.</w:t>
      </w:r>
    </w:p>
    <w:p w14:paraId="677B848A" w14:textId="77777777" w:rsidR="008F1C7F" w:rsidRPr="006A1549" w:rsidRDefault="008F1C7F" w:rsidP="008F1C7F">
      <w:pPr>
        <w:numPr>
          <w:ilvl w:val="0"/>
          <w:numId w:val="3"/>
        </w:numPr>
        <w:rPr>
          <w:rFonts w:ascii="Avenir Book" w:hAnsi="Avenir Book"/>
          <w:highlight w:val="white"/>
        </w:rPr>
      </w:pPr>
    </w:p>
    <w:p w14:paraId="08988FD5" w14:textId="77777777" w:rsidR="008F1C7F" w:rsidRPr="006A1549" w:rsidRDefault="008F1C7F" w:rsidP="008F1C7F">
      <w:pPr>
        <w:numPr>
          <w:ilvl w:val="0"/>
          <w:numId w:val="3"/>
        </w:numPr>
        <w:rPr>
          <w:rFonts w:ascii="Avenir Book" w:hAnsi="Avenir Book"/>
        </w:rPr>
      </w:pPr>
      <w:r w:rsidRPr="006A1549">
        <w:rPr>
          <w:rFonts w:ascii="Avenir Book" w:hAnsi="Avenir Book"/>
          <w:shd w:val="clear" w:color="auto" w:fill="FFFFFF"/>
        </w:rPr>
        <w:t xml:space="preserve">La propensione all’apertura, peraltro, viene anch’essa dal passato, dato che per secoli questa terra fu una porta verso l'Oriente: da qui </w:t>
      </w:r>
      <w:r w:rsidRPr="006A1549">
        <w:rPr>
          <w:rFonts w:ascii="Avenir Book" w:hAnsi="Avenir Book"/>
        </w:rPr>
        <w:t xml:space="preserve">ai </w:t>
      </w:r>
      <w:r w:rsidRPr="006A1549">
        <w:rPr>
          <w:rFonts w:ascii="Avenir Book" w:hAnsi="Avenir Book"/>
          <w:shd w:val="clear" w:color="auto" w:fill="FFFFFF"/>
        </w:rPr>
        <w:t>tempi dei Romani si faceva rotta per la Grecia e nel Medioevo si salpava per le Crociate.</w:t>
      </w:r>
    </w:p>
    <w:p w14:paraId="5FD28EDB" w14:textId="77777777" w:rsidR="008F1C7F" w:rsidRPr="006A1549" w:rsidRDefault="008F1C7F" w:rsidP="008F1C7F">
      <w:pPr>
        <w:numPr>
          <w:ilvl w:val="0"/>
          <w:numId w:val="3"/>
        </w:numPr>
        <w:rPr>
          <w:rFonts w:ascii="Avenir Book" w:hAnsi="Avenir Book"/>
          <w:highlight w:val="white"/>
        </w:rPr>
      </w:pPr>
    </w:p>
    <w:p w14:paraId="2BBF5568" w14:textId="77777777" w:rsidR="008F1C7F" w:rsidRPr="006A1549" w:rsidRDefault="008F1C7F" w:rsidP="008F1C7F">
      <w:pPr>
        <w:numPr>
          <w:ilvl w:val="0"/>
          <w:numId w:val="3"/>
        </w:numPr>
        <w:rPr>
          <w:rFonts w:ascii="Avenir Book" w:hAnsi="Avenir Book"/>
        </w:rPr>
      </w:pPr>
      <w:r w:rsidRPr="006A1549">
        <w:rPr>
          <w:rFonts w:ascii="Avenir Book" w:hAnsi="Avenir Book"/>
          <w:shd w:val="clear" w:color="auto" w:fill="FFFFFF"/>
        </w:rPr>
        <w:t>Molti i popoli che in queste terre sono passati e si sono fermati per lunghi periodi (Greci, Longobardi, Normanni, Arabi, Francesi e Spagnoli), ognuno imponendo il proprio potere di conquistatore, ma lasciando anche un patrimonio culturale fatto di opere d'arte, riti e culti, gioielli architettonici, stili di vita, abitudini alimentari.</w:t>
      </w:r>
    </w:p>
    <w:p w14:paraId="663C3532" w14:textId="77777777" w:rsidR="008F1C7F" w:rsidRPr="006A1549" w:rsidRDefault="008F1C7F" w:rsidP="008F1C7F">
      <w:pPr>
        <w:numPr>
          <w:ilvl w:val="0"/>
          <w:numId w:val="3"/>
        </w:numPr>
        <w:rPr>
          <w:rFonts w:ascii="Avenir Book" w:hAnsi="Avenir Book"/>
          <w:highlight w:val="white"/>
        </w:rPr>
      </w:pPr>
    </w:p>
    <w:p w14:paraId="2ED1A4C5" w14:textId="77777777" w:rsidR="008F1C7F" w:rsidRPr="006A1549" w:rsidRDefault="008F1C7F" w:rsidP="008F1C7F">
      <w:pPr>
        <w:numPr>
          <w:ilvl w:val="0"/>
          <w:numId w:val="3"/>
        </w:numPr>
        <w:rPr>
          <w:rFonts w:ascii="Avenir Book" w:hAnsi="Avenir Book"/>
        </w:rPr>
      </w:pPr>
      <w:r w:rsidRPr="006A1549">
        <w:rPr>
          <w:rFonts w:ascii="Avenir Book" w:hAnsi="Avenir Book"/>
          <w:shd w:val="clear" w:color="auto" w:fill="FFFFFF"/>
        </w:rPr>
        <w:t>La storia e la cultura dei popoli che hanno occupato il territorio si riflettono nella enogastronomia pugliese. Se si volesse individuare la regione italiana più rappresentativa della Dieta Mediterranea, la Puglia potrebbe avanzare una seria candidatura.</w:t>
      </w:r>
    </w:p>
    <w:p w14:paraId="3BAAD8BB" w14:textId="77777777" w:rsidR="008F1C7F" w:rsidRPr="006A1549" w:rsidRDefault="008F1C7F" w:rsidP="008F1C7F">
      <w:pPr>
        <w:rPr>
          <w:rFonts w:ascii="Avenir Book" w:hAnsi="Avenir Book"/>
          <w:highlight w:val="white"/>
        </w:rPr>
      </w:pPr>
    </w:p>
    <w:p w14:paraId="24495C7F" w14:textId="77777777" w:rsidR="008F1C7F" w:rsidRPr="006A1549" w:rsidRDefault="008F1C7F" w:rsidP="008F1C7F">
      <w:pPr>
        <w:rPr>
          <w:rFonts w:ascii="Avenir Book" w:hAnsi="Avenir Book"/>
        </w:rPr>
      </w:pPr>
      <w:r w:rsidRPr="006A1549">
        <w:rPr>
          <w:rFonts w:ascii="Avenir Book" w:hAnsi="Avenir Book"/>
          <w:shd w:val="clear" w:color="auto" w:fill="FFFFFF"/>
        </w:rPr>
        <w:t>Poi c'è la natura: non solo le coste ma anche una rete di ciclovie derivate dalla riproposta in chiave moderna di antiche strade. Ne sono un esempio le Vie dell'Acquedotto, che permettono agli amanti di bici e trekking di sfruttare i vecchi sentieri nel verde che costeggiano l'Acquedotto Pugliese.</w:t>
      </w:r>
    </w:p>
    <w:p w14:paraId="41411507" w14:textId="77777777" w:rsidR="00E319E4" w:rsidRPr="001514FF" w:rsidRDefault="00E319E4" w:rsidP="001514FF">
      <w:pPr>
        <w:rPr>
          <w:highlight w:val="white"/>
          <w:lang w:val="en-US"/>
        </w:rPr>
      </w:pPr>
    </w:p>
    <w:sectPr w:rsidR="00E319E4" w:rsidRPr="001514FF">
      <w:pgSz w:w="11906" w:h="16817"/>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7293"/>
    <w:multiLevelType w:val="multilevel"/>
    <w:tmpl w:val="99A26B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rPr>
        <w:rFonts w:ascii="Calibri" w:hAnsi="Calibri"/>
        <w:b w:val="0"/>
        <w:sz w:val="32"/>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3E87CC7"/>
    <w:multiLevelType w:val="multilevel"/>
    <w:tmpl w:val="5E962C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DB11D27"/>
    <w:multiLevelType w:val="multilevel"/>
    <w:tmpl w:val="2640B9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rPr>
        <w:rFonts w:ascii="Calibri" w:hAnsi="Calibri"/>
        <w:b w:val="0"/>
        <w:sz w:val="32"/>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84093528">
    <w:abstractNumId w:val="0"/>
  </w:num>
  <w:num w:numId="2" w16cid:durableId="529680839">
    <w:abstractNumId w:val="1"/>
  </w:num>
  <w:num w:numId="3" w16cid:durableId="54858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E4"/>
    <w:rsid w:val="001514FF"/>
    <w:rsid w:val="00647319"/>
    <w:rsid w:val="008F1C7F"/>
    <w:rsid w:val="00E319E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125A"/>
  <w15:docId w15:val="{F198CD1E-CCF6-49DB-847F-DAD897E9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57E"/>
    <w:pPr>
      <w:suppressAutoHyphens/>
    </w:pPr>
    <w:rPr>
      <w:color w:val="00000A"/>
      <w:sz w:val="24"/>
      <w:szCs w:val="24"/>
      <w:lang w:eastAsia="en-US"/>
    </w:rPr>
  </w:style>
  <w:style w:type="paragraph" w:styleId="Heading4">
    <w:name w:val="heading 4"/>
    <w:basedOn w:val="Heading"/>
    <w:link w:val="Heading4Char"/>
    <w:qFormat/>
    <w:pPr>
      <w:spacing w:before="120"/>
      <w:outlineLvl w:val="3"/>
    </w:pPr>
    <w:rPr>
      <w:rFonts w:ascii="Liberation Serif" w:eastAsia="Tahoma" w:hAnsi="Liberation Serif"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qFormat/>
    <w:locked/>
    <w:rsid w:val="00A82992"/>
    <w:rPr>
      <w:rFonts w:ascii="Trebuchet MS" w:hAnsi="Trebuchet MS" w:cs="Trebuchet MS"/>
      <w:sz w:val="16"/>
      <w:szCs w:val="16"/>
      <w:lang w:val="it-IT"/>
    </w:rPr>
  </w:style>
  <w:style w:type="character" w:customStyle="1" w:styleId="InternetLink">
    <w:name w:val="Internet Link"/>
    <w:rPr>
      <w:color w:val="000080"/>
      <w:u w:val="single"/>
    </w:rPr>
  </w:style>
  <w:style w:type="character" w:customStyle="1" w:styleId="StrongEmphasis">
    <w:name w:val="Strong Emphasis"/>
    <w:qFormat/>
    <w:rPr>
      <w:b/>
      <w:bCs/>
    </w:rPr>
  </w:style>
  <w:style w:type="character" w:customStyle="1" w:styleId="ListLabel1">
    <w:name w:val="ListLabel 1"/>
    <w:qFormat/>
    <w:rPr>
      <w:rFonts w:ascii="Calibri" w:hAnsi="Calibri"/>
      <w:b w:val="0"/>
      <w:sz w:val="32"/>
    </w:rPr>
  </w:style>
  <w:style w:type="paragraph" w:customStyle="1" w:styleId="Heading">
    <w:name w:val="Heading"/>
    <w:basedOn w:val="Normal"/>
    <w:next w:val="BodyText"/>
    <w:qFormat/>
    <w:pPr>
      <w:keepNext/>
      <w:spacing w:before="240" w:after="120"/>
    </w:pPr>
    <w:rPr>
      <w:rFonts w:ascii="Liberation Sans" w:eastAsia="SimSun" w:hAnsi="Liberation Sans" w:cs="Lucida Sans"/>
      <w:sz w:val="28"/>
      <w:szCs w:val="28"/>
    </w:rPr>
  </w:style>
  <w:style w:type="paragraph" w:styleId="BodyText">
    <w:name w:val="Body Text"/>
    <w:basedOn w:val="Normal"/>
    <w:link w:val="BodyTextChar"/>
    <w:uiPriority w:val="99"/>
    <w:rsid w:val="00A82992"/>
    <w:pPr>
      <w:widowControl w:val="0"/>
    </w:pPr>
    <w:rPr>
      <w:rFonts w:ascii="Trebuchet MS" w:hAnsi="Trebuchet MS" w:cs="Trebuchet MS"/>
      <w:sz w:val="16"/>
      <w:szCs w:val="16"/>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280" w:after="280"/>
    </w:pPr>
  </w:style>
  <w:style w:type="character" w:customStyle="1" w:styleId="Heading4Char">
    <w:name w:val="Heading 4 Char"/>
    <w:basedOn w:val="DefaultParagraphFont"/>
    <w:link w:val="Heading4"/>
    <w:rsid w:val="008F1C7F"/>
    <w:rPr>
      <w:rFonts w:ascii="Liberation Serif" w:eastAsia="Tahoma" w:hAnsi="Liberation Serif" w:cs="Tahoma"/>
      <w:b/>
      <w:bCs/>
      <w:color w:val="00000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c:creator>
  <dc:description/>
  <cp:lastModifiedBy>HAMMERSLEY MICHAEL JOHN</cp:lastModifiedBy>
  <cp:revision>14</cp:revision>
  <cp:lastPrinted>2022-06-11T19:19:00Z</cp:lastPrinted>
  <dcterms:created xsi:type="dcterms:W3CDTF">2021-06-29T05:44:00Z</dcterms:created>
  <dcterms:modified xsi:type="dcterms:W3CDTF">2024-04-25T09:49:00Z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