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ADD" w:rsidRPr="00794969" w:rsidRDefault="00794969" w:rsidP="00794969">
      <w:pPr>
        <w:spacing w:line="240" w:lineRule="auto"/>
        <w:jc w:val="both"/>
        <w:rPr>
          <w:rFonts w:ascii="Times New Roman" w:hAnsi="Times New Roman" w:cs="Times New Roman"/>
          <w:b/>
          <w:sz w:val="28"/>
          <w:szCs w:val="28"/>
        </w:rPr>
      </w:pPr>
      <w:r w:rsidRPr="00794969">
        <w:rPr>
          <w:rFonts w:ascii="Times New Roman" w:hAnsi="Times New Roman" w:cs="Times New Roman"/>
          <w:b/>
          <w:sz w:val="28"/>
          <w:szCs w:val="28"/>
        </w:rPr>
        <w:t xml:space="preserve">TRATTAMENTI DETENTIVI INUMANI E DEGRADANTI: SOTTO I 3 MQ </w:t>
      </w:r>
      <w:r>
        <w:rPr>
          <w:rFonts w:ascii="Times New Roman" w:hAnsi="Times New Roman" w:cs="Times New Roman"/>
          <w:b/>
          <w:sz w:val="28"/>
          <w:szCs w:val="28"/>
        </w:rPr>
        <w:t xml:space="preserve">LA </w:t>
      </w:r>
      <w:r w:rsidRPr="00794969">
        <w:rPr>
          <w:rFonts w:ascii="Times New Roman" w:hAnsi="Times New Roman" w:cs="Times New Roman"/>
          <w:b/>
          <w:sz w:val="28"/>
          <w:szCs w:val="28"/>
        </w:rPr>
        <w:t xml:space="preserve">VIOLAZIONE NON </w:t>
      </w:r>
      <w:r>
        <w:rPr>
          <w:rFonts w:ascii="Times New Roman" w:hAnsi="Times New Roman" w:cs="Times New Roman"/>
          <w:b/>
          <w:sz w:val="28"/>
          <w:szCs w:val="28"/>
        </w:rPr>
        <w:t>E’</w:t>
      </w:r>
      <w:r w:rsidRPr="00794969">
        <w:rPr>
          <w:rFonts w:ascii="Times New Roman" w:hAnsi="Times New Roman" w:cs="Times New Roman"/>
          <w:b/>
          <w:sz w:val="28"/>
          <w:szCs w:val="28"/>
        </w:rPr>
        <w:t>AUTOMATICA</w:t>
      </w:r>
    </w:p>
    <w:p w:rsidR="00794969" w:rsidRPr="00794969" w:rsidRDefault="00794969" w:rsidP="00794969">
      <w:pPr>
        <w:tabs>
          <w:tab w:val="left" w:pos="5724"/>
        </w:tabs>
        <w:jc w:val="center"/>
        <w:rPr>
          <w:rFonts w:ascii="Palatino Linotype" w:hAnsi="Palatino Linotype"/>
          <w:b/>
        </w:rPr>
      </w:pPr>
      <w:r w:rsidRPr="00794969">
        <w:rPr>
          <w:rFonts w:ascii="Palatino Linotype" w:hAnsi="Palatino Linotype"/>
          <w:b/>
          <w:lang w:val="fr-FR"/>
        </w:rPr>
        <w:t xml:space="preserve">Corte EDU, </w:t>
      </w:r>
      <w:proofErr w:type="spellStart"/>
      <w:r w:rsidRPr="00794969">
        <w:rPr>
          <w:rFonts w:ascii="Palatino Linotype" w:hAnsi="Palatino Linotype"/>
          <w:b/>
          <w:lang w:val="fr-FR"/>
        </w:rPr>
        <w:t>Sez</w:t>
      </w:r>
      <w:proofErr w:type="spellEnd"/>
      <w:r w:rsidRPr="00794969">
        <w:rPr>
          <w:rFonts w:ascii="Palatino Linotype" w:hAnsi="Palatino Linotype"/>
          <w:b/>
          <w:lang w:val="fr-FR"/>
        </w:rPr>
        <w:t>. I, sent. 12</w:t>
      </w:r>
      <w:r w:rsidRPr="00794969">
        <w:rPr>
          <w:rFonts w:ascii="Palatino Linotype" w:hAnsi="Palatino Linotype"/>
          <w:b/>
        </w:rPr>
        <w:t xml:space="preserve"> marzo 2015,</w:t>
      </w:r>
      <w:r w:rsidRPr="00794969">
        <w:rPr>
          <w:rFonts w:ascii="Times New Roman" w:hAnsi="Times New Roman" w:cs="Times New Roman"/>
          <w:b/>
          <w:i/>
          <w:sz w:val="28"/>
          <w:szCs w:val="28"/>
        </w:rPr>
        <w:t xml:space="preserve"> </w:t>
      </w:r>
      <w:r w:rsidRPr="00794969">
        <w:rPr>
          <w:rFonts w:ascii="Palatino Linotype" w:hAnsi="Palatino Linotype"/>
          <w:b/>
        </w:rPr>
        <w:t>ric. n. 7334/13</w:t>
      </w:r>
    </w:p>
    <w:p w:rsidR="00794969" w:rsidRDefault="00794969" w:rsidP="00794969">
      <w:pPr>
        <w:jc w:val="both"/>
        <w:rPr>
          <w:rFonts w:ascii="Palatino Linotype" w:hAnsi="Palatino Linotype"/>
          <w:sz w:val="24"/>
          <w:szCs w:val="24"/>
        </w:rPr>
      </w:pPr>
      <w:r w:rsidRPr="00794969">
        <w:rPr>
          <w:rFonts w:ascii="Palatino Linotype" w:hAnsi="Palatino Linotype"/>
          <w:sz w:val="24"/>
          <w:szCs w:val="24"/>
        </w:rPr>
        <w:t>(Presidente:</w:t>
      </w:r>
      <w:r w:rsidRPr="00794969">
        <w:rPr>
          <w:rFonts w:ascii="Times New Roman" w:hAnsi="Times New Roman" w:cs="Times New Roman"/>
          <w:sz w:val="24"/>
          <w:szCs w:val="24"/>
        </w:rPr>
        <w:t xml:space="preserve"> Isabelle </w:t>
      </w:r>
      <w:proofErr w:type="spellStart"/>
      <w:r w:rsidRPr="00794969">
        <w:rPr>
          <w:rFonts w:ascii="Times New Roman" w:hAnsi="Times New Roman" w:cs="Times New Roman"/>
          <w:sz w:val="24"/>
          <w:szCs w:val="24"/>
        </w:rPr>
        <w:t>Berro</w:t>
      </w:r>
      <w:proofErr w:type="spellEnd"/>
      <w:r w:rsidRPr="00794969">
        <w:rPr>
          <w:rFonts w:ascii="Times New Roman" w:hAnsi="Times New Roman" w:cs="Times New Roman"/>
          <w:sz w:val="24"/>
          <w:szCs w:val="24"/>
        </w:rPr>
        <w:t xml:space="preserve">; </w:t>
      </w:r>
      <w:proofErr w:type="spellStart"/>
      <w:r w:rsidRPr="00794969">
        <w:rPr>
          <w:rFonts w:ascii="Palatino Linotype" w:hAnsi="Palatino Linotype"/>
          <w:sz w:val="24"/>
          <w:szCs w:val="24"/>
        </w:rPr>
        <w:t>Muršič</w:t>
      </w:r>
      <w:proofErr w:type="spellEnd"/>
      <w:r w:rsidRPr="00794969">
        <w:rPr>
          <w:rFonts w:ascii="Palatino Linotype" w:hAnsi="Palatino Linotype"/>
          <w:sz w:val="24"/>
          <w:szCs w:val="24"/>
        </w:rPr>
        <w:t xml:space="preserve"> c. Croazia)</w:t>
      </w:r>
    </w:p>
    <w:p w:rsidR="003900EC" w:rsidRPr="00794969" w:rsidRDefault="003900EC" w:rsidP="00794969">
      <w:pPr>
        <w:jc w:val="both"/>
        <w:rPr>
          <w:rFonts w:ascii="Palatino Linotype" w:hAnsi="Palatino Linotype"/>
          <w:sz w:val="24"/>
          <w:szCs w:val="24"/>
        </w:rPr>
      </w:pPr>
    </w:p>
    <w:p w:rsidR="001D6FA4" w:rsidRDefault="003900EC" w:rsidP="003900EC">
      <w:pPr>
        <w:pBdr>
          <w:top w:val="single" w:sz="4" w:space="1" w:color="auto"/>
          <w:left w:val="single" w:sz="4" w:space="4" w:color="auto"/>
          <w:bottom w:val="single" w:sz="4" w:space="1" w:color="auto"/>
          <w:right w:val="single" w:sz="4" w:space="4" w:color="auto"/>
        </w:pBdr>
        <w:jc w:val="both"/>
        <w:rPr>
          <w:rFonts w:ascii="Palatino Linotype" w:hAnsi="Palatino Linotype" w:cs="Verdana"/>
          <w:color w:val="000000"/>
          <w:sz w:val="24"/>
          <w:szCs w:val="20"/>
        </w:rPr>
      </w:pPr>
      <w:r>
        <w:rPr>
          <w:rStyle w:val="Enfasigrassetto"/>
          <w:rFonts w:ascii="Palatino Linotype" w:hAnsi="Palatino Linotype"/>
        </w:rPr>
        <w:t>PER STRASBURGO LO SPAZIO DETENTIVO PRO CAPITE VA DETERMINATO CASO PER CASO, PONDERANDO IN CONCRETO LO SPAZIO VIVIBILE E IL COMPLESSO DELLE ALTRE CONDIZIONI DI DETENZIONE</w:t>
      </w:r>
    </w:p>
    <w:p w:rsidR="003900EC" w:rsidRDefault="003900EC" w:rsidP="001D6FA4">
      <w:pPr>
        <w:jc w:val="center"/>
        <w:rPr>
          <w:rFonts w:ascii="Palatino Linotype" w:hAnsi="Palatino Linotype" w:cs="Verdana"/>
          <w:b/>
          <w:color w:val="000000"/>
          <w:sz w:val="24"/>
          <w:szCs w:val="20"/>
        </w:rPr>
      </w:pPr>
    </w:p>
    <w:p w:rsidR="001D6FA4" w:rsidRPr="001D6FA4" w:rsidRDefault="001D6FA4" w:rsidP="001D6FA4">
      <w:pPr>
        <w:jc w:val="center"/>
        <w:rPr>
          <w:rFonts w:ascii="Palatino Linotype" w:hAnsi="Palatino Linotype" w:cs="Verdana"/>
          <w:b/>
          <w:color w:val="000000"/>
          <w:sz w:val="24"/>
          <w:szCs w:val="20"/>
        </w:rPr>
      </w:pPr>
      <w:r w:rsidRPr="001D6FA4">
        <w:rPr>
          <w:rFonts w:ascii="Palatino Linotype" w:hAnsi="Palatino Linotype" w:cs="Verdana"/>
          <w:b/>
          <w:color w:val="000000"/>
          <w:sz w:val="24"/>
          <w:szCs w:val="20"/>
        </w:rPr>
        <w:t>LA MASSIMA</w:t>
      </w:r>
    </w:p>
    <w:p w:rsidR="001D6FA4" w:rsidRPr="001D6FA4" w:rsidRDefault="001D6FA4" w:rsidP="001D6FA4">
      <w:pPr>
        <w:autoSpaceDE w:val="0"/>
        <w:autoSpaceDN w:val="0"/>
        <w:adjustRightInd w:val="0"/>
        <w:jc w:val="both"/>
        <w:rPr>
          <w:rFonts w:ascii="Palatino Linotype" w:hAnsi="Palatino Linotype" w:cs="Verdana"/>
          <w:i/>
          <w:sz w:val="24"/>
          <w:szCs w:val="24"/>
          <w:lang w:val="fr-FR"/>
        </w:rPr>
      </w:pPr>
      <w:proofErr w:type="spellStart"/>
      <w:r w:rsidRPr="001D6FA4">
        <w:rPr>
          <w:rFonts w:ascii="Palatino Linotype" w:hAnsi="Palatino Linotype" w:cs="Verdana"/>
          <w:b/>
          <w:sz w:val="24"/>
          <w:szCs w:val="24"/>
          <w:lang w:val="fr-FR"/>
        </w:rPr>
        <w:t>Diritti</w:t>
      </w:r>
      <w:proofErr w:type="spellEnd"/>
      <w:r w:rsidRPr="001D6FA4">
        <w:rPr>
          <w:rFonts w:ascii="Palatino Linotype" w:hAnsi="Palatino Linotype" w:cs="Verdana"/>
          <w:b/>
          <w:sz w:val="24"/>
          <w:szCs w:val="24"/>
          <w:lang w:val="fr-FR"/>
        </w:rPr>
        <w:t xml:space="preserve"> </w:t>
      </w:r>
      <w:proofErr w:type="spellStart"/>
      <w:r w:rsidRPr="001D6FA4">
        <w:rPr>
          <w:rFonts w:ascii="Palatino Linotype" w:hAnsi="Palatino Linotype" w:cs="Verdana"/>
          <w:b/>
          <w:sz w:val="24"/>
          <w:szCs w:val="24"/>
          <w:lang w:val="fr-FR"/>
        </w:rPr>
        <w:t>fondamentali</w:t>
      </w:r>
      <w:proofErr w:type="spellEnd"/>
      <w:r w:rsidRPr="001D6FA4">
        <w:rPr>
          <w:rFonts w:ascii="Palatino Linotype" w:hAnsi="Palatino Linotype" w:cs="Verdana"/>
          <w:b/>
          <w:sz w:val="24"/>
          <w:szCs w:val="24"/>
          <w:lang w:val="fr-FR"/>
        </w:rPr>
        <w:t xml:space="preserve"> </w:t>
      </w:r>
      <w:proofErr w:type="spellStart"/>
      <w:r w:rsidRPr="001D6FA4">
        <w:rPr>
          <w:rFonts w:ascii="Palatino Linotype" w:hAnsi="Palatino Linotype" w:cs="Verdana"/>
          <w:b/>
          <w:sz w:val="24"/>
          <w:szCs w:val="24"/>
          <w:lang w:val="fr-FR"/>
        </w:rPr>
        <w:t>dell’Uomo</w:t>
      </w:r>
      <w:proofErr w:type="spellEnd"/>
      <w:r w:rsidRPr="001D6FA4">
        <w:rPr>
          <w:rFonts w:ascii="Palatino Linotype" w:hAnsi="Palatino Linotype" w:cs="Verdana"/>
          <w:b/>
          <w:sz w:val="24"/>
          <w:szCs w:val="24"/>
          <w:lang w:val="fr-FR"/>
        </w:rPr>
        <w:t xml:space="preserve"> – </w:t>
      </w:r>
      <w:proofErr w:type="spellStart"/>
      <w:r w:rsidRPr="001D6FA4">
        <w:rPr>
          <w:rFonts w:ascii="Palatino Linotype" w:hAnsi="Palatino Linotype" w:cs="Verdana"/>
          <w:b/>
          <w:sz w:val="24"/>
          <w:szCs w:val="24"/>
          <w:lang w:val="fr-FR"/>
        </w:rPr>
        <w:t>Divieto</w:t>
      </w:r>
      <w:proofErr w:type="spellEnd"/>
      <w:r w:rsidRPr="001D6FA4">
        <w:rPr>
          <w:rFonts w:ascii="Palatino Linotype" w:hAnsi="Palatino Linotype" w:cs="Verdana"/>
          <w:b/>
          <w:sz w:val="24"/>
          <w:szCs w:val="24"/>
          <w:lang w:val="fr-FR"/>
        </w:rPr>
        <w:t xml:space="preserve"> di </w:t>
      </w:r>
      <w:proofErr w:type="spellStart"/>
      <w:r w:rsidRPr="001D6FA4">
        <w:rPr>
          <w:rFonts w:ascii="Palatino Linotype" w:hAnsi="Palatino Linotype" w:cs="Verdana"/>
          <w:b/>
          <w:sz w:val="24"/>
          <w:szCs w:val="24"/>
          <w:lang w:val="fr-FR"/>
        </w:rPr>
        <w:t>trattamenti</w:t>
      </w:r>
      <w:proofErr w:type="spellEnd"/>
      <w:r w:rsidRPr="001D6FA4">
        <w:rPr>
          <w:rFonts w:ascii="Palatino Linotype" w:hAnsi="Palatino Linotype" w:cs="Verdana"/>
          <w:b/>
          <w:sz w:val="24"/>
          <w:szCs w:val="24"/>
          <w:lang w:val="fr-FR"/>
        </w:rPr>
        <w:t xml:space="preserve"> </w:t>
      </w:r>
      <w:proofErr w:type="spellStart"/>
      <w:r w:rsidRPr="001D6FA4">
        <w:rPr>
          <w:rFonts w:ascii="Palatino Linotype" w:hAnsi="Palatino Linotype" w:cs="Verdana"/>
          <w:b/>
          <w:sz w:val="24"/>
          <w:szCs w:val="24"/>
          <w:lang w:val="fr-FR"/>
        </w:rPr>
        <w:t>inumani</w:t>
      </w:r>
      <w:proofErr w:type="spellEnd"/>
      <w:r w:rsidRPr="001D6FA4">
        <w:rPr>
          <w:rFonts w:ascii="Palatino Linotype" w:hAnsi="Palatino Linotype" w:cs="Verdana"/>
          <w:b/>
          <w:sz w:val="24"/>
          <w:szCs w:val="24"/>
          <w:lang w:val="fr-FR"/>
        </w:rPr>
        <w:t xml:space="preserve"> e </w:t>
      </w:r>
      <w:proofErr w:type="spellStart"/>
      <w:r w:rsidRPr="001D6FA4">
        <w:rPr>
          <w:rFonts w:ascii="Palatino Linotype" w:hAnsi="Palatino Linotype" w:cs="Verdana"/>
          <w:b/>
          <w:sz w:val="24"/>
          <w:szCs w:val="24"/>
          <w:lang w:val="fr-FR"/>
        </w:rPr>
        <w:t>degradanti</w:t>
      </w:r>
      <w:proofErr w:type="spellEnd"/>
      <w:r w:rsidRPr="001D6FA4">
        <w:rPr>
          <w:rFonts w:ascii="Palatino Linotype" w:hAnsi="Palatino Linotype" w:cs="Verdana"/>
          <w:b/>
          <w:sz w:val="24"/>
          <w:szCs w:val="24"/>
          <w:lang w:val="fr-FR"/>
        </w:rPr>
        <w:t xml:space="preserve"> </w:t>
      </w:r>
      <w:proofErr w:type="spellStart"/>
      <w:r w:rsidRPr="001D6FA4">
        <w:rPr>
          <w:rFonts w:ascii="Palatino Linotype" w:hAnsi="Palatino Linotype" w:cs="Verdana"/>
          <w:b/>
          <w:sz w:val="24"/>
          <w:szCs w:val="24"/>
          <w:lang w:val="fr-FR"/>
        </w:rPr>
        <w:t>nei</w:t>
      </w:r>
      <w:proofErr w:type="spellEnd"/>
      <w:r w:rsidRPr="001D6FA4">
        <w:rPr>
          <w:rFonts w:ascii="Palatino Linotype" w:hAnsi="Palatino Linotype" w:cs="Verdana"/>
          <w:b/>
          <w:sz w:val="24"/>
          <w:szCs w:val="24"/>
          <w:lang w:val="fr-FR"/>
        </w:rPr>
        <w:t xml:space="preserve"> </w:t>
      </w:r>
      <w:proofErr w:type="spellStart"/>
      <w:r w:rsidRPr="001D6FA4">
        <w:rPr>
          <w:rFonts w:ascii="Palatino Linotype" w:hAnsi="Palatino Linotype" w:cs="Verdana"/>
          <w:b/>
          <w:sz w:val="24"/>
          <w:szCs w:val="24"/>
          <w:lang w:val="fr-FR"/>
        </w:rPr>
        <w:t>confronti</w:t>
      </w:r>
      <w:proofErr w:type="spellEnd"/>
      <w:r w:rsidRPr="001D6FA4">
        <w:rPr>
          <w:rFonts w:ascii="Palatino Linotype" w:hAnsi="Palatino Linotype" w:cs="Verdana"/>
          <w:b/>
          <w:sz w:val="24"/>
          <w:szCs w:val="24"/>
          <w:lang w:val="fr-FR"/>
        </w:rPr>
        <w:t xml:space="preserve"> dei </w:t>
      </w:r>
      <w:proofErr w:type="spellStart"/>
      <w:r w:rsidRPr="001D6FA4">
        <w:rPr>
          <w:rFonts w:ascii="Palatino Linotype" w:hAnsi="Palatino Linotype" w:cs="Verdana"/>
          <w:b/>
          <w:sz w:val="24"/>
          <w:szCs w:val="24"/>
          <w:lang w:val="fr-FR"/>
        </w:rPr>
        <w:t>detenuti</w:t>
      </w:r>
      <w:proofErr w:type="spellEnd"/>
      <w:r w:rsidRPr="001D6FA4">
        <w:rPr>
          <w:rFonts w:ascii="Palatino Linotype" w:hAnsi="Palatino Linotype" w:cs="Verdana"/>
          <w:b/>
          <w:sz w:val="24"/>
          <w:szCs w:val="24"/>
          <w:lang w:val="fr-FR"/>
        </w:rPr>
        <w:t xml:space="preserve"> – </w:t>
      </w:r>
      <w:proofErr w:type="spellStart"/>
      <w:r w:rsidRPr="001D6FA4">
        <w:rPr>
          <w:rFonts w:ascii="Palatino Linotype" w:hAnsi="Palatino Linotype" w:cs="Verdana"/>
          <w:b/>
          <w:sz w:val="24"/>
          <w:szCs w:val="24"/>
          <w:lang w:val="fr-FR"/>
        </w:rPr>
        <w:t>Violazione</w:t>
      </w:r>
      <w:proofErr w:type="spellEnd"/>
      <w:r w:rsidRPr="001D6FA4">
        <w:rPr>
          <w:rFonts w:ascii="Palatino Linotype" w:hAnsi="Palatino Linotype" w:cs="Verdana"/>
          <w:b/>
          <w:sz w:val="24"/>
          <w:szCs w:val="24"/>
          <w:lang w:val="fr-FR"/>
        </w:rPr>
        <w:t xml:space="preserve"> </w:t>
      </w:r>
      <w:proofErr w:type="spellStart"/>
      <w:r w:rsidRPr="001D6FA4">
        <w:rPr>
          <w:rFonts w:ascii="Palatino Linotype" w:hAnsi="Palatino Linotype" w:cs="Verdana"/>
          <w:b/>
          <w:sz w:val="24"/>
          <w:szCs w:val="24"/>
          <w:lang w:val="fr-FR"/>
        </w:rPr>
        <w:t>dell’art</w:t>
      </w:r>
      <w:proofErr w:type="spellEnd"/>
      <w:r w:rsidRPr="001D6FA4">
        <w:rPr>
          <w:rFonts w:ascii="Palatino Linotype" w:hAnsi="Palatino Linotype" w:cs="Verdana"/>
          <w:b/>
          <w:sz w:val="24"/>
          <w:szCs w:val="24"/>
          <w:lang w:val="fr-FR"/>
        </w:rPr>
        <w:t xml:space="preserve">. 3 </w:t>
      </w:r>
      <w:proofErr w:type="spellStart"/>
      <w:r w:rsidRPr="001D6FA4">
        <w:rPr>
          <w:rFonts w:ascii="Palatino Linotype" w:hAnsi="Palatino Linotype" w:cs="Verdana"/>
          <w:b/>
          <w:sz w:val="24"/>
          <w:szCs w:val="24"/>
          <w:lang w:val="fr-FR"/>
        </w:rPr>
        <w:t>della</w:t>
      </w:r>
      <w:proofErr w:type="spellEnd"/>
      <w:r w:rsidRPr="001D6FA4">
        <w:rPr>
          <w:rFonts w:ascii="Palatino Linotype" w:hAnsi="Palatino Linotype" w:cs="Verdana"/>
          <w:b/>
          <w:sz w:val="24"/>
          <w:szCs w:val="24"/>
          <w:lang w:val="fr-FR"/>
        </w:rPr>
        <w:t xml:space="preserve"> </w:t>
      </w:r>
      <w:proofErr w:type="spellStart"/>
      <w:r w:rsidRPr="001D6FA4">
        <w:rPr>
          <w:rFonts w:ascii="Palatino Linotype" w:hAnsi="Palatino Linotype" w:cs="Verdana"/>
          <w:b/>
          <w:sz w:val="24"/>
          <w:szCs w:val="24"/>
          <w:lang w:val="fr-FR"/>
        </w:rPr>
        <w:t>Convenzione</w:t>
      </w:r>
      <w:proofErr w:type="spellEnd"/>
      <w:r w:rsidRPr="001D6FA4">
        <w:rPr>
          <w:rFonts w:ascii="Palatino Linotype" w:hAnsi="Palatino Linotype" w:cs="Verdana"/>
          <w:b/>
          <w:sz w:val="24"/>
          <w:szCs w:val="24"/>
          <w:lang w:val="fr-FR"/>
        </w:rPr>
        <w:t xml:space="preserve"> </w:t>
      </w:r>
      <w:proofErr w:type="spellStart"/>
      <w:r w:rsidRPr="001D6FA4">
        <w:rPr>
          <w:rFonts w:ascii="Palatino Linotype" w:hAnsi="Palatino Linotype" w:cs="Verdana"/>
          <w:b/>
          <w:sz w:val="24"/>
          <w:szCs w:val="24"/>
          <w:lang w:val="fr-FR"/>
        </w:rPr>
        <w:t>Europea</w:t>
      </w:r>
      <w:proofErr w:type="spellEnd"/>
      <w:r w:rsidRPr="001D6FA4">
        <w:rPr>
          <w:rFonts w:ascii="Palatino Linotype" w:hAnsi="Palatino Linotype" w:cs="Verdana"/>
          <w:b/>
          <w:sz w:val="24"/>
          <w:szCs w:val="24"/>
          <w:lang w:val="fr-FR"/>
        </w:rPr>
        <w:t xml:space="preserve"> dei </w:t>
      </w:r>
      <w:proofErr w:type="spellStart"/>
      <w:r w:rsidRPr="001D6FA4">
        <w:rPr>
          <w:rFonts w:ascii="Palatino Linotype" w:hAnsi="Palatino Linotype" w:cs="Verdana"/>
          <w:b/>
          <w:sz w:val="24"/>
          <w:szCs w:val="24"/>
          <w:lang w:val="fr-FR"/>
        </w:rPr>
        <w:t>Diritti</w:t>
      </w:r>
      <w:proofErr w:type="spellEnd"/>
      <w:r w:rsidRPr="001D6FA4">
        <w:rPr>
          <w:rFonts w:ascii="Palatino Linotype" w:hAnsi="Palatino Linotype" w:cs="Verdana"/>
          <w:b/>
          <w:sz w:val="24"/>
          <w:szCs w:val="24"/>
          <w:lang w:val="fr-FR"/>
        </w:rPr>
        <w:t xml:space="preserve"> </w:t>
      </w:r>
      <w:proofErr w:type="spellStart"/>
      <w:r w:rsidRPr="001D6FA4">
        <w:rPr>
          <w:rFonts w:ascii="Palatino Linotype" w:hAnsi="Palatino Linotype" w:cs="Verdana"/>
          <w:b/>
          <w:sz w:val="24"/>
          <w:szCs w:val="24"/>
          <w:lang w:val="fr-FR"/>
        </w:rPr>
        <w:t>dell’Uomo</w:t>
      </w:r>
      <w:proofErr w:type="spellEnd"/>
      <w:r w:rsidRPr="001D6FA4">
        <w:rPr>
          <w:rFonts w:ascii="Palatino Linotype" w:hAnsi="Palatino Linotype" w:cs="Verdana"/>
          <w:b/>
          <w:sz w:val="24"/>
          <w:szCs w:val="24"/>
          <w:lang w:val="fr-FR"/>
        </w:rPr>
        <w:t xml:space="preserve"> – </w:t>
      </w:r>
      <w:proofErr w:type="spellStart"/>
      <w:r w:rsidRPr="001D6FA4">
        <w:rPr>
          <w:rFonts w:ascii="Palatino Linotype" w:hAnsi="Palatino Linotype" w:cs="Verdana"/>
          <w:b/>
          <w:sz w:val="24"/>
          <w:szCs w:val="24"/>
          <w:lang w:val="fr-FR"/>
        </w:rPr>
        <w:t>Spazio</w:t>
      </w:r>
      <w:proofErr w:type="spellEnd"/>
      <w:r w:rsidRPr="001D6FA4">
        <w:rPr>
          <w:rFonts w:ascii="Palatino Linotype" w:hAnsi="Palatino Linotype" w:cs="Verdana"/>
          <w:b/>
          <w:sz w:val="24"/>
          <w:szCs w:val="24"/>
          <w:lang w:val="fr-FR"/>
        </w:rPr>
        <w:t xml:space="preserve"> </w:t>
      </w:r>
      <w:proofErr w:type="spellStart"/>
      <w:r w:rsidRPr="001D6FA4">
        <w:rPr>
          <w:rFonts w:ascii="Palatino Linotype" w:hAnsi="Palatino Linotype" w:cs="Verdana"/>
          <w:b/>
          <w:sz w:val="24"/>
          <w:szCs w:val="24"/>
          <w:lang w:val="fr-FR"/>
        </w:rPr>
        <w:t>detentivo</w:t>
      </w:r>
      <w:proofErr w:type="spellEnd"/>
      <w:r w:rsidRPr="001D6FA4">
        <w:rPr>
          <w:rFonts w:ascii="Palatino Linotype" w:hAnsi="Palatino Linotype" w:cs="Verdana"/>
          <w:b/>
          <w:sz w:val="24"/>
          <w:szCs w:val="24"/>
          <w:lang w:val="fr-FR"/>
        </w:rPr>
        <w:t xml:space="preserve"> </w:t>
      </w:r>
      <w:proofErr w:type="spellStart"/>
      <w:r w:rsidRPr="001D6FA4">
        <w:rPr>
          <w:rFonts w:ascii="Palatino Linotype" w:hAnsi="Palatino Linotype" w:cs="Verdana"/>
          <w:b/>
          <w:sz w:val="24"/>
          <w:szCs w:val="24"/>
          <w:lang w:val="fr-FR"/>
        </w:rPr>
        <w:t>minimo</w:t>
      </w:r>
      <w:proofErr w:type="spellEnd"/>
      <w:r w:rsidRPr="001D6FA4">
        <w:rPr>
          <w:rFonts w:ascii="Palatino Linotype" w:hAnsi="Palatino Linotype" w:cs="Verdana"/>
          <w:b/>
          <w:sz w:val="24"/>
          <w:szCs w:val="24"/>
          <w:lang w:val="fr-FR"/>
        </w:rPr>
        <w:t xml:space="preserve"> </w:t>
      </w:r>
      <w:proofErr w:type="spellStart"/>
      <w:r w:rsidRPr="001D6FA4">
        <w:rPr>
          <w:rFonts w:ascii="Palatino Linotype" w:hAnsi="Palatino Linotype" w:cs="Verdana"/>
          <w:b/>
          <w:sz w:val="24"/>
          <w:szCs w:val="24"/>
          <w:lang w:val="fr-FR"/>
        </w:rPr>
        <w:t>inferiore</w:t>
      </w:r>
      <w:proofErr w:type="spellEnd"/>
      <w:r w:rsidRPr="001D6FA4">
        <w:rPr>
          <w:rFonts w:ascii="Palatino Linotype" w:hAnsi="Palatino Linotype" w:cs="Verdana"/>
          <w:b/>
          <w:sz w:val="24"/>
          <w:szCs w:val="24"/>
          <w:lang w:val="fr-FR"/>
        </w:rPr>
        <w:t xml:space="preserve"> a 3 </w:t>
      </w:r>
      <w:proofErr w:type="spellStart"/>
      <w:r w:rsidRPr="001D6FA4">
        <w:rPr>
          <w:rFonts w:ascii="Palatino Linotype" w:hAnsi="Palatino Linotype" w:cs="Verdana"/>
          <w:b/>
          <w:sz w:val="24"/>
          <w:szCs w:val="24"/>
          <w:lang w:val="fr-FR"/>
        </w:rPr>
        <w:t>mq</w:t>
      </w:r>
      <w:proofErr w:type="spellEnd"/>
      <w:r w:rsidRPr="001D6FA4">
        <w:rPr>
          <w:rFonts w:ascii="Palatino Linotype" w:hAnsi="Palatino Linotype" w:cs="Verdana"/>
          <w:b/>
          <w:sz w:val="24"/>
          <w:szCs w:val="24"/>
          <w:lang w:val="fr-FR"/>
        </w:rPr>
        <w:t xml:space="preserve"> </w:t>
      </w:r>
      <w:r w:rsidR="00AA108F">
        <w:rPr>
          <w:rFonts w:ascii="Palatino Linotype" w:hAnsi="Palatino Linotype" w:cs="Verdana"/>
          <w:b/>
          <w:sz w:val="24"/>
          <w:szCs w:val="24"/>
          <w:lang w:val="fr-FR"/>
        </w:rPr>
        <w:t>–</w:t>
      </w:r>
      <w:r w:rsidRPr="001D6FA4">
        <w:rPr>
          <w:rFonts w:ascii="Palatino Linotype" w:hAnsi="Palatino Linotype" w:cs="Verdana"/>
          <w:b/>
          <w:sz w:val="24"/>
          <w:szCs w:val="24"/>
          <w:lang w:val="fr-FR"/>
        </w:rPr>
        <w:t xml:space="preserve"> </w:t>
      </w:r>
      <w:r w:rsidR="00AA108F">
        <w:rPr>
          <w:rFonts w:ascii="Palatino Linotype" w:hAnsi="Palatino Linotype" w:cs="Verdana"/>
          <w:b/>
          <w:sz w:val="24"/>
          <w:szCs w:val="24"/>
          <w:lang w:val="fr-FR"/>
        </w:rPr>
        <w:t xml:space="preserve">« Forte </w:t>
      </w:r>
      <w:proofErr w:type="spellStart"/>
      <w:r w:rsidR="00AA108F">
        <w:rPr>
          <w:rFonts w:ascii="Palatino Linotype" w:hAnsi="Palatino Linotype" w:cs="Verdana"/>
          <w:b/>
          <w:sz w:val="24"/>
          <w:szCs w:val="24"/>
          <w:lang w:val="fr-FR"/>
        </w:rPr>
        <w:t>p</w:t>
      </w:r>
      <w:r w:rsidRPr="001D6FA4">
        <w:rPr>
          <w:rFonts w:ascii="Palatino Linotype" w:hAnsi="Palatino Linotype" w:cs="Verdana"/>
          <w:b/>
          <w:sz w:val="24"/>
          <w:szCs w:val="24"/>
          <w:lang w:val="fr-FR"/>
        </w:rPr>
        <w:t>resunzione</w:t>
      </w:r>
      <w:proofErr w:type="spellEnd"/>
      <w:r w:rsidR="00AA108F">
        <w:rPr>
          <w:rFonts w:ascii="Palatino Linotype" w:hAnsi="Palatino Linotype" w:cs="Verdana"/>
          <w:b/>
          <w:sz w:val="24"/>
          <w:szCs w:val="24"/>
          <w:lang w:val="fr-FR"/>
        </w:rPr>
        <w:t> »</w:t>
      </w:r>
      <w:r w:rsidRPr="001D6FA4">
        <w:rPr>
          <w:rFonts w:ascii="Palatino Linotype" w:hAnsi="Palatino Linotype" w:cs="Verdana"/>
          <w:b/>
          <w:sz w:val="24"/>
          <w:szCs w:val="24"/>
          <w:lang w:val="fr-FR"/>
        </w:rPr>
        <w:t xml:space="preserve"> di </w:t>
      </w:r>
      <w:proofErr w:type="spellStart"/>
      <w:r w:rsidRPr="001D6FA4">
        <w:rPr>
          <w:rFonts w:ascii="Palatino Linotype" w:hAnsi="Palatino Linotype" w:cs="Verdana"/>
          <w:b/>
          <w:sz w:val="24"/>
          <w:szCs w:val="24"/>
          <w:lang w:val="fr-FR"/>
        </w:rPr>
        <w:t>violazione</w:t>
      </w:r>
      <w:proofErr w:type="spellEnd"/>
      <w:r w:rsidRPr="001D6FA4">
        <w:rPr>
          <w:rFonts w:ascii="Palatino Linotype" w:hAnsi="Palatino Linotype" w:cs="Verdana"/>
          <w:b/>
          <w:sz w:val="24"/>
          <w:szCs w:val="24"/>
          <w:lang w:val="fr-FR"/>
        </w:rPr>
        <w:t xml:space="preserve"> </w:t>
      </w:r>
      <w:proofErr w:type="spellStart"/>
      <w:r w:rsidRPr="001D6FA4">
        <w:rPr>
          <w:rFonts w:ascii="Palatino Linotype" w:hAnsi="Palatino Linotype" w:cs="Verdana"/>
          <w:b/>
          <w:sz w:val="24"/>
          <w:szCs w:val="24"/>
          <w:lang w:val="fr-FR"/>
        </w:rPr>
        <w:t>della</w:t>
      </w:r>
      <w:proofErr w:type="spellEnd"/>
      <w:r w:rsidRPr="001D6FA4">
        <w:rPr>
          <w:rFonts w:ascii="Palatino Linotype" w:hAnsi="Palatino Linotype" w:cs="Verdana"/>
          <w:b/>
          <w:sz w:val="24"/>
          <w:szCs w:val="24"/>
          <w:lang w:val="fr-FR"/>
        </w:rPr>
        <w:t xml:space="preserve"> </w:t>
      </w:r>
      <w:proofErr w:type="spellStart"/>
      <w:r w:rsidRPr="001D6FA4">
        <w:rPr>
          <w:rFonts w:ascii="Palatino Linotype" w:hAnsi="Palatino Linotype" w:cs="Verdana"/>
          <w:b/>
          <w:sz w:val="24"/>
          <w:szCs w:val="24"/>
          <w:lang w:val="fr-FR"/>
        </w:rPr>
        <w:t>Convenzione</w:t>
      </w:r>
      <w:proofErr w:type="spellEnd"/>
      <w:r w:rsidRPr="001D6FA4">
        <w:rPr>
          <w:rFonts w:ascii="Palatino Linotype" w:hAnsi="Palatino Linotype" w:cs="Verdana"/>
          <w:b/>
          <w:sz w:val="24"/>
          <w:szCs w:val="24"/>
          <w:lang w:val="fr-FR"/>
        </w:rPr>
        <w:t xml:space="preserve"> </w:t>
      </w:r>
      <w:r w:rsidRPr="001D6FA4">
        <w:rPr>
          <w:rFonts w:ascii="Palatino Linotype" w:hAnsi="Palatino Linotype" w:cs="Verdana"/>
          <w:i/>
          <w:sz w:val="24"/>
          <w:szCs w:val="24"/>
          <w:lang w:val="fr-FR"/>
        </w:rPr>
        <w:t xml:space="preserve">(art. 3 </w:t>
      </w:r>
      <w:proofErr w:type="spellStart"/>
      <w:r w:rsidRPr="001D6FA4">
        <w:rPr>
          <w:rFonts w:ascii="Palatino Linotype" w:hAnsi="Palatino Linotype" w:cs="Verdana"/>
          <w:i/>
          <w:sz w:val="24"/>
          <w:szCs w:val="24"/>
          <w:lang w:val="fr-FR"/>
        </w:rPr>
        <w:t>Cedu</w:t>
      </w:r>
      <w:proofErr w:type="spellEnd"/>
      <w:r w:rsidRPr="001D6FA4">
        <w:rPr>
          <w:rFonts w:ascii="Palatino Linotype" w:hAnsi="Palatino Linotype" w:cs="Verdana"/>
          <w:i/>
          <w:sz w:val="24"/>
          <w:szCs w:val="24"/>
          <w:lang w:val="fr-FR"/>
        </w:rPr>
        <w:t xml:space="preserve">)  </w:t>
      </w:r>
    </w:p>
    <w:p w:rsidR="00794969" w:rsidRPr="001D6FA4" w:rsidRDefault="00794969" w:rsidP="001D6FA4">
      <w:pPr>
        <w:spacing w:line="240" w:lineRule="auto"/>
        <w:jc w:val="both"/>
        <w:rPr>
          <w:rFonts w:ascii="Palatino Linotype" w:hAnsi="Palatino Linotype" w:cs="Verdana"/>
          <w:color w:val="000000"/>
          <w:sz w:val="24"/>
          <w:szCs w:val="24"/>
        </w:rPr>
      </w:pPr>
      <w:r w:rsidRPr="001D6FA4">
        <w:rPr>
          <w:rFonts w:ascii="Palatino Linotype" w:hAnsi="Palatino Linotype" w:cs="Verdana"/>
          <w:color w:val="000000"/>
          <w:sz w:val="24"/>
          <w:szCs w:val="24"/>
        </w:rPr>
        <w:t xml:space="preserve">In tema di </w:t>
      </w:r>
      <w:r w:rsidR="00F60A88">
        <w:rPr>
          <w:rFonts w:ascii="Palatino Linotype" w:hAnsi="Palatino Linotype" w:cs="Verdana"/>
          <w:color w:val="000000"/>
          <w:sz w:val="24"/>
          <w:szCs w:val="24"/>
        </w:rPr>
        <w:t xml:space="preserve">accertamento delle </w:t>
      </w:r>
      <w:r w:rsidRPr="001D6FA4">
        <w:rPr>
          <w:rFonts w:ascii="Palatino Linotype" w:hAnsi="Palatino Linotype" w:cs="Verdana"/>
          <w:color w:val="000000"/>
          <w:sz w:val="24"/>
          <w:szCs w:val="24"/>
        </w:rPr>
        <w:t>condizioni detentive</w:t>
      </w:r>
      <w:r w:rsidR="00F60A88">
        <w:rPr>
          <w:rFonts w:ascii="Palatino Linotype" w:hAnsi="Palatino Linotype" w:cs="Verdana"/>
          <w:color w:val="000000"/>
          <w:sz w:val="24"/>
          <w:szCs w:val="24"/>
        </w:rPr>
        <w:t xml:space="preserve"> tali da costituire violazione dell’art. 3 </w:t>
      </w:r>
      <w:r w:rsidR="00F60A88" w:rsidRPr="001D6FA4">
        <w:rPr>
          <w:rFonts w:ascii="Palatino Linotype" w:hAnsi="Palatino Linotype" w:cs="Verdana"/>
          <w:color w:val="000000"/>
          <w:sz w:val="24"/>
          <w:szCs w:val="24"/>
        </w:rPr>
        <w:t>della Convenzione Europea dei Diritti dell’Uomo</w:t>
      </w:r>
      <w:r w:rsidRPr="001D6FA4">
        <w:rPr>
          <w:rFonts w:ascii="Palatino Linotype" w:hAnsi="Palatino Linotype" w:cs="Verdana"/>
          <w:color w:val="000000"/>
          <w:sz w:val="24"/>
          <w:szCs w:val="24"/>
        </w:rPr>
        <w:t xml:space="preserve">, la mancanza di spazio sufficiente all’interno delle camere di </w:t>
      </w:r>
      <w:r w:rsidR="001D6FA4" w:rsidRPr="001D6FA4">
        <w:rPr>
          <w:rFonts w:ascii="Palatino Linotype" w:hAnsi="Palatino Linotype" w:cs="Verdana"/>
          <w:color w:val="000000"/>
          <w:sz w:val="24"/>
          <w:szCs w:val="24"/>
        </w:rPr>
        <w:t>pernottamento</w:t>
      </w:r>
      <w:r w:rsidRPr="001D6FA4">
        <w:rPr>
          <w:rFonts w:ascii="Palatino Linotype" w:hAnsi="Palatino Linotype" w:cs="Verdana"/>
          <w:color w:val="000000"/>
          <w:sz w:val="24"/>
          <w:szCs w:val="24"/>
        </w:rPr>
        <w:t xml:space="preserve"> inferiore a 3 mq non integra automaticamente un</w:t>
      </w:r>
      <w:r w:rsidR="00F60A88">
        <w:rPr>
          <w:rFonts w:ascii="Palatino Linotype" w:hAnsi="Palatino Linotype" w:cs="Verdana"/>
          <w:color w:val="000000"/>
          <w:sz w:val="24"/>
          <w:szCs w:val="24"/>
        </w:rPr>
        <w:t xml:space="preserve"> trattamento inumano e degradante</w:t>
      </w:r>
      <w:r w:rsidRPr="001D6FA4">
        <w:rPr>
          <w:rFonts w:ascii="Palatino Linotype" w:hAnsi="Palatino Linotype" w:cs="Verdana"/>
          <w:color w:val="000000"/>
          <w:sz w:val="24"/>
          <w:szCs w:val="24"/>
        </w:rPr>
        <w:t xml:space="preserve">, </w:t>
      </w:r>
      <w:r w:rsidR="00F60A88">
        <w:rPr>
          <w:rFonts w:ascii="Palatino Linotype" w:hAnsi="Palatino Linotype" w:cs="Verdana"/>
          <w:color w:val="000000"/>
          <w:sz w:val="24"/>
          <w:szCs w:val="24"/>
        </w:rPr>
        <w:t xml:space="preserve">la cui sussistenza </w:t>
      </w:r>
      <w:r w:rsidR="001D6FA4" w:rsidRPr="001D6FA4">
        <w:rPr>
          <w:rFonts w:ascii="Palatino Linotype" w:hAnsi="Palatino Linotype" w:cs="Verdana"/>
          <w:color w:val="000000"/>
          <w:sz w:val="24"/>
          <w:szCs w:val="24"/>
        </w:rPr>
        <w:t xml:space="preserve">va, invece, </w:t>
      </w:r>
      <w:r w:rsidR="00F60A88">
        <w:rPr>
          <w:rFonts w:ascii="Palatino Linotype" w:hAnsi="Palatino Linotype" w:cs="Verdana"/>
          <w:color w:val="000000"/>
          <w:sz w:val="24"/>
          <w:szCs w:val="24"/>
        </w:rPr>
        <w:t xml:space="preserve">verificata </w:t>
      </w:r>
      <w:r w:rsidRPr="001D6FA4">
        <w:rPr>
          <w:rFonts w:ascii="Palatino Linotype" w:hAnsi="Palatino Linotype" w:cs="Verdana"/>
          <w:color w:val="000000"/>
          <w:sz w:val="24"/>
          <w:szCs w:val="24"/>
        </w:rPr>
        <w:t xml:space="preserve">sulla base del livello minimo di gravità che il maltrattamento deve avere raggiunto, </w:t>
      </w:r>
      <w:r w:rsidR="001D6FA4" w:rsidRPr="001D6FA4">
        <w:rPr>
          <w:rFonts w:ascii="Palatino Linotype" w:hAnsi="Palatino Linotype" w:cs="Verdana"/>
          <w:color w:val="000000"/>
          <w:sz w:val="24"/>
          <w:szCs w:val="24"/>
        </w:rPr>
        <w:t xml:space="preserve">alla luce </w:t>
      </w:r>
      <w:r w:rsidRPr="001D6FA4">
        <w:rPr>
          <w:rFonts w:ascii="Palatino Linotype" w:hAnsi="Palatino Linotype" w:cs="Verdana"/>
          <w:color w:val="000000"/>
          <w:sz w:val="24"/>
          <w:szCs w:val="24"/>
        </w:rPr>
        <w:t xml:space="preserve">della durata del medesimo </w:t>
      </w:r>
      <w:r w:rsidR="001D6FA4" w:rsidRPr="001D6FA4">
        <w:rPr>
          <w:rFonts w:ascii="Palatino Linotype" w:hAnsi="Palatino Linotype" w:cs="Verdana"/>
          <w:color w:val="000000"/>
          <w:sz w:val="24"/>
          <w:szCs w:val="24"/>
        </w:rPr>
        <w:t xml:space="preserve">e in seguito alla verifica </w:t>
      </w:r>
      <w:r w:rsidR="00F60A88">
        <w:rPr>
          <w:rFonts w:ascii="Palatino Linotype" w:hAnsi="Palatino Linotype" w:cs="Verdana"/>
          <w:color w:val="000000"/>
          <w:sz w:val="24"/>
          <w:szCs w:val="24"/>
        </w:rPr>
        <w:t xml:space="preserve">della sussistenza </w:t>
      </w:r>
      <w:r w:rsidR="001D6FA4" w:rsidRPr="001D6FA4">
        <w:rPr>
          <w:rFonts w:ascii="Palatino Linotype" w:hAnsi="Palatino Linotype" w:cs="Verdana"/>
          <w:color w:val="000000"/>
          <w:sz w:val="24"/>
          <w:szCs w:val="24"/>
        </w:rPr>
        <w:t xml:space="preserve">di eventuali ulteriori elementi che possono, nel caso concreto, avere aggravato il livello inevitabile di sofferenza e umiliazione derivante dalla condizione di restrizione carceraria, quali le carenze </w:t>
      </w:r>
      <w:r w:rsidRPr="001D6FA4">
        <w:rPr>
          <w:rFonts w:ascii="Palatino Linotype" w:hAnsi="Palatino Linotype" w:cs="Verdana"/>
          <w:color w:val="000000"/>
          <w:sz w:val="24"/>
          <w:szCs w:val="24"/>
        </w:rPr>
        <w:t xml:space="preserve">logistiche (mancanza di acqua calda, di illuminazione e di ricambio dell’aria) </w:t>
      </w:r>
      <w:r w:rsidR="001D6FA4" w:rsidRPr="001D6FA4">
        <w:rPr>
          <w:rFonts w:ascii="Palatino Linotype" w:hAnsi="Palatino Linotype" w:cs="Verdana"/>
          <w:color w:val="000000"/>
          <w:sz w:val="24"/>
          <w:szCs w:val="24"/>
        </w:rPr>
        <w:t xml:space="preserve">o </w:t>
      </w:r>
      <w:proofErr w:type="spellStart"/>
      <w:r w:rsidR="001D6FA4" w:rsidRPr="001D6FA4">
        <w:rPr>
          <w:rFonts w:ascii="Palatino Linotype" w:hAnsi="Palatino Linotype" w:cs="Verdana"/>
          <w:color w:val="000000"/>
          <w:sz w:val="24"/>
          <w:szCs w:val="24"/>
        </w:rPr>
        <w:t>trattamentali</w:t>
      </w:r>
      <w:proofErr w:type="spellEnd"/>
      <w:r w:rsidR="001D6FA4" w:rsidRPr="001D6FA4">
        <w:rPr>
          <w:rFonts w:ascii="Palatino Linotype" w:hAnsi="Palatino Linotype" w:cs="Verdana"/>
          <w:color w:val="000000"/>
          <w:sz w:val="24"/>
          <w:szCs w:val="24"/>
        </w:rPr>
        <w:t xml:space="preserve"> (quali l’assenza di opportunità ricreative, culturali e lavorative interne all’istituto penitenziario) che hanno caratterizzato la detenzione del soggetto.</w:t>
      </w:r>
      <w:r w:rsidRPr="001D6FA4">
        <w:rPr>
          <w:rFonts w:ascii="Palatino Linotype" w:hAnsi="Palatino Linotype" w:cs="Verdana"/>
          <w:color w:val="000000"/>
          <w:sz w:val="24"/>
          <w:szCs w:val="24"/>
        </w:rPr>
        <w:t xml:space="preserve">  </w:t>
      </w:r>
    </w:p>
    <w:p w:rsidR="00794969" w:rsidRDefault="00794969" w:rsidP="00794969">
      <w:pPr>
        <w:autoSpaceDE w:val="0"/>
        <w:autoSpaceDN w:val="0"/>
        <w:adjustRightInd w:val="0"/>
        <w:jc w:val="both"/>
        <w:rPr>
          <w:rFonts w:ascii="Palatino Linotype" w:hAnsi="Palatino Linotype" w:cs="Verdana"/>
          <w:i/>
          <w:color w:val="000000"/>
          <w:sz w:val="24"/>
          <w:szCs w:val="20"/>
        </w:rPr>
      </w:pPr>
    </w:p>
    <w:p w:rsidR="003900EC" w:rsidRPr="003900EC" w:rsidRDefault="00F32C88" w:rsidP="00794969">
      <w:pPr>
        <w:autoSpaceDE w:val="0"/>
        <w:autoSpaceDN w:val="0"/>
        <w:adjustRightInd w:val="0"/>
        <w:jc w:val="both"/>
        <w:rPr>
          <w:rFonts w:ascii="Palatino Linotype" w:hAnsi="Palatino Linotype" w:cs="Verdana"/>
          <w:b/>
          <w:color w:val="000000"/>
          <w:sz w:val="24"/>
          <w:szCs w:val="20"/>
        </w:rPr>
      </w:pPr>
      <w:r>
        <w:rPr>
          <w:rFonts w:ascii="Palatino Linotype" w:hAnsi="Palatino Linotype" w:cs="Verdana"/>
          <w:b/>
          <w:color w:val="000000"/>
          <w:sz w:val="24"/>
          <w:szCs w:val="20"/>
        </w:rPr>
        <w:t>PER STRASBURGO</w:t>
      </w:r>
      <w:r w:rsidR="00BF27D9">
        <w:rPr>
          <w:rFonts w:ascii="Palatino Linotype" w:hAnsi="Palatino Linotype" w:cs="Verdana"/>
          <w:b/>
          <w:color w:val="000000"/>
          <w:sz w:val="24"/>
          <w:szCs w:val="20"/>
        </w:rPr>
        <w:t xml:space="preserve"> </w:t>
      </w:r>
      <w:r w:rsidR="003900EC" w:rsidRPr="003900EC">
        <w:rPr>
          <w:rFonts w:ascii="Palatino Linotype" w:hAnsi="Palatino Linotype" w:cs="Verdana"/>
          <w:b/>
          <w:color w:val="000000"/>
          <w:sz w:val="24"/>
          <w:szCs w:val="20"/>
        </w:rPr>
        <w:t>L’ACCERTAMENTO</w:t>
      </w:r>
      <w:r w:rsidRPr="00F32C88">
        <w:rPr>
          <w:rFonts w:ascii="Palatino Linotype" w:hAnsi="Palatino Linotype" w:cs="Verdana"/>
          <w:b/>
          <w:color w:val="000000"/>
          <w:sz w:val="24"/>
          <w:szCs w:val="20"/>
        </w:rPr>
        <w:t xml:space="preserve"> </w:t>
      </w:r>
      <w:r>
        <w:rPr>
          <w:rFonts w:ascii="Palatino Linotype" w:hAnsi="Palatino Linotype" w:cs="Verdana"/>
          <w:b/>
          <w:color w:val="000000"/>
          <w:sz w:val="24"/>
          <w:szCs w:val="20"/>
        </w:rPr>
        <w:t>SULL</w:t>
      </w:r>
      <w:r w:rsidRPr="003900EC">
        <w:rPr>
          <w:rFonts w:ascii="Palatino Linotype" w:hAnsi="Palatino Linotype" w:cs="Verdana"/>
          <w:b/>
          <w:color w:val="000000"/>
          <w:sz w:val="24"/>
          <w:szCs w:val="20"/>
        </w:rPr>
        <w:t>A VIOLAZIONE DELL’ART.3 CEDU</w:t>
      </w:r>
      <w:r>
        <w:rPr>
          <w:rFonts w:ascii="Palatino Linotype" w:hAnsi="Palatino Linotype" w:cs="Verdana"/>
          <w:b/>
          <w:color w:val="000000"/>
          <w:sz w:val="24"/>
          <w:szCs w:val="20"/>
        </w:rPr>
        <w:t xml:space="preserve"> E’ </w:t>
      </w:r>
      <w:r w:rsidR="003900EC" w:rsidRPr="003900EC">
        <w:rPr>
          <w:rFonts w:ascii="Palatino Linotype" w:hAnsi="Palatino Linotype" w:cs="Verdana"/>
          <w:b/>
          <w:color w:val="000000"/>
          <w:sz w:val="24"/>
          <w:szCs w:val="20"/>
        </w:rPr>
        <w:t xml:space="preserve">“MULTIFATTORIALE” </w:t>
      </w:r>
    </w:p>
    <w:p w:rsidR="00562B22" w:rsidRPr="003900EC" w:rsidRDefault="003900EC" w:rsidP="003900EC">
      <w:pPr>
        <w:spacing w:line="240" w:lineRule="auto"/>
        <w:jc w:val="both"/>
        <w:rPr>
          <w:rFonts w:ascii="Times New Roman" w:hAnsi="Times New Roman" w:cs="Times New Roman"/>
          <w:sz w:val="24"/>
          <w:szCs w:val="28"/>
        </w:rPr>
      </w:pPr>
      <w:proofErr w:type="gramStart"/>
      <w:r w:rsidRPr="003900EC">
        <w:rPr>
          <w:rFonts w:ascii="Times New Roman" w:hAnsi="Times New Roman" w:cs="Times New Roman"/>
          <w:sz w:val="24"/>
          <w:szCs w:val="28"/>
        </w:rPr>
        <w:t>di</w:t>
      </w:r>
      <w:proofErr w:type="gramEnd"/>
      <w:r w:rsidRPr="003900EC">
        <w:rPr>
          <w:rFonts w:ascii="Times New Roman" w:hAnsi="Times New Roman" w:cs="Times New Roman"/>
          <w:sz w:val="24"/>
          <w:szCs w:val="28"/>
        </w:rPr>
        <w:t xml:space="preserve"> Fabio Fiorentin</w:t>
      </w:r>
    </w:p>
    <w:p w:rsidR="007561CB" w:rsidRDefault="003900EC" w:rsidP="007548D5">
      <w:pPr>
        <w:tabs>
          <w:tab w:val="left" w:pos="993"/>
        </w:tabs>
        <w:spacing w:after="120" w:line="240" w:lineRule="auto"/>
        <w:ind w:left="284"/>
        <w:jc w:val="both"/>
        <w:rPr>
          <w:rFonts w:ascii="Times New Roman" w:hAnsi="Times New Roman" w:cs="Times New Roman"/>
          <w:sz w:val="28"/>
          <w:szCs w:val="28"/>
        </w:rPr>
      </w:pPr>
      <w:r>
        <w:rPr>
          <w:rFonts w:ascii="Times New Roman" w:hAnsi="Times New Roman" w:cs="Times New Roman"/>
          <w:sz w:val="28"/>
          <w:szCs w:val="28"/>
        </w:rPr>
        <w:t>Con una sentenza dest</w:t>
      </w:r>
      <w:r w:rsidR="00A61AF0">
        <w:rPr>
          <w:rFonts w:ascii="Times New Roman" w:hAnsi="Times New Roman" w:cs="Times New Roman"/>
          <w:sz w:val="28"/>
          <w:szCs w:val="28"/>
        </w:rPr>
        <w:t xml:space="preserve">inata certamente ad accrescere la complessità dei procedimenti </w:t>
      </w:r>
      <w:r w:rsidR="00BB5118">
        <w:rPr>
          <w:rFonts w:ascii="Times New Roman" w:hAnsi="Times New Roman" w:cs="Times New Roman"/>
          <w:sz w:val="28"/>
          <w:szCs w:val="28"/>
        </w:rPr>
        <w:t>in materia di risarcimento del danno da detenzione “inumana e degradante” (</w:t>
      </w:r>
      <w:r w:rsidR="00F32C88">
        <w:rPr>
          <w:rFonts w:ascii="Times New Roman" w:hAnsi="Times New Roman" w:cs="Times New Roman"/>
          <w:sz w:val="28"/>
          <w:szCs w:val="28"/>
        </w:rPr>
        <w:t>art. 35-</w:t>
      </w:r>
      <w:r w:rsidR="00F32C88" w:rsidRPr="008871B1">
        <w:rPr>
          <w:rFonts w:ascii="Times New Roman" w:hAnsi="Times New Roman" w:cs="Times New Roman"/>
          <w:i/>
          <w:sz w:val="28"/>
          <w:szCs w:val="28"/>
        </w:rPr>
        <w:t>ter</w:t>
      </w:r>
      <w:r w:rsidR="00F32C88">
        <w:rPr>
          <w:rFonts w:ascii="Times New Roman" w:hAnsi="Times New Roman" w:cs="Times New Roman"/>
          <w:sz w:val="28"/>
          <w:szCs w:val="28"/>
        </w:rPr>
        <w:t xml:space="preserve">, l. 26 luglio 1975, n. 354 </w:t>
      </w:r>
      <w:r w:rsidR="00BB5118">
        <w:rPr>
          <w:rFonts w:ascii="Times New Roman" w:hAnsi="Times New Roman" w:cs="Times New Roman"/>
          <w:sz w:val="28"/>
          <w:szCs w:val="28"/>
        </w:rPr>
        <w:t xml:space="preserve">c.d. </w:t>
      </w:r>
      <w:r w:rsidR="00F32C88">
        <w:rPr>
          <w:rFonts w:ascii="Times New Roman" w:hAnsi="Times New Roman" w:cs="Times New Roman"/>
          <w:sz w:val="28"/>
          <w:szCs w:val="28"/>
        </w:rPr>
        <w:t xml:space="preserve">ordinamento penitenziario), </w:t>
      </w:r>
      <w:r>
        <w:rPr>
          <w:rFonts w:ascii="Times New Roman" w:hAnsi="Times New Roman" w:cs="Times New Roman"/>
          <w:sz w:val="28"/>
          <w:szCs w:val="28"/>
        </w:rPr>
        <w:t>la Corte Europea dei Diritti dell’Uomo</w:t>
      </w:r>
      <w:r w:rsidR="006E6E45">
        <w:rPr>
          <w:rFonts w:ascii="Times New Roman" w:hAnsi="Times New Roman" w:cs="Times New Roman"/>
          <w:sz w:val="28"/>
          <w:szCs w:val="28"/>
        </w:rPr>
        <w:t xml:space="preserve">, occupandosi del caso di un detenuto ristretto in un istituto di pena croato, ha stabilito che non vi è stata violazione </w:t>
      </w:r>
      <w:r w:rsidR="006E6E45">
        <w:rPr>
          <w:rFonts w:ascii="Times New Roman" w:hAnsi="Times New Roman" w:cs="Times New Roman"/>
          <w:sz w:val="28"/>
          <w:szCs w:val="28"/>
        </w:rPr>
        <w:lastRenderedPageBreak/>
        <w:t xml:space="preserve">dell’art.3 CEDU (disposizione che vieta la tortura e le pene inumane e degradanti) </w:t>
      </w:r>
      <w:r w:rsidR="006E6E45" w:rsidRPr="00A61AF0">
        <w:rPr>
          <w:rFonts w:ascii="Times New Roman" w:hAnsi="Times New Roman" w:cs="Times New Roman"/>
          <w:sz w:val="28"/>
          <w:szCs w:val="28"/>
        </w:rPr>
        <w:t xml:space="preserve">anche se il </w:t>
      </w:r>
      <w:r w:rsidR="00BF27D9">
        <w:rPr>
          <w:rFonts w:ascii="Times New Roman" w:hAnsi="Times New Roman" w:cs="Times New Roman"/>
          <w:sz w:val="28"/>
          <w:szCs w:val="28"/>
        </w:rPr>
        <w:t>ricorrente</w:t>
      </w:r>
      <w:r w:rsidR="006E6E45" w:rsidRPr="00A61AF0">
        <w:rPr>
          <w:rFonts w:ascii="Times New Roman" w:hAnsi="Times New Roman" w:cs="Times New Roman"/>
          <w:sz w:val="28"/>
          <w:szCs w:val="28"/>
        </w:rPr>
        <w:t xml:space="preserve"> </w:t>
      </w:r>
      <w:r w:rsidR="00BF27D9">
        <w:rPr>
          <w:rFonts w:ascii="Times New Roman" w:hAnsi="Times New Roman" w:cs="Times New Roman"/>
          <w:sz w:val="28"/>
          <w:szCs w:val="28"/>
        </w:rPr>
        <w:t xml:space="preserve">era stato detenuto </w:t>
      </w:r>
      <w:r w:rsidR="006E6E45" w:rsidRPr="00A61AF0">
        <w:rPr>
          <w:rFonts w:ascii="Times New Roman" w:hAnsi="Times New Roman" w:cs="Times New Roman"/>
          <w:sz w:val="28"/>
          <w:szCs w:val="28"/>
        </w:rPr>
        <w:t xml:space="preserve">– </w:t>
      </w:r>
      <w:r w:rsidR="00BB5118">
        <w:rPr>
          <w:rFonts w:ascii="Times New Roman" w:hAnsi="Times New Roman" w:cs="Times New Roman"/>
          <w:sz w:val="28"/>
          <w:szCs w:val="28"/>
        </w:rPr>
        <w:t xml:space="preserve">benché </w:t>
      </w:r>
      <w:r w:rsidR="006E6E45" w:rsidRPr="00A61AF0">
        <w:rPr>
          <w:rFonts w:ascii="Times New Roman" w:hAnsi="Times New Roman" w:cs="Times New Roman"/>
          <w:sz w:val="28"/>
          <w:szCs w:val="28"/>
        </w:rPr>
        <w:t>per un non prolungato periodo</w:t>
      </w:r>
      <w:r w:rsidR="00BF27D9">
        <w:rPr>
          <w:rFonts w:ascii="Times New Roman" w:hAnsi="Times New Roman" w:cs="Times New Roman"/>
          <w:sz w:val="28"/>
          <w:szCs w:val="28"/>
        </w:rPr>
        <w:t xml:space="preserve"> di tempo - </w:t>
      </w:r>
      <w:r w:rsidR="006E6E45" w:rsidRPr="00A61AF0">
        <w:rPr>
          <w:rFonts w:ascii="Times New Roman" w:hAnsi="Times New Roman" w:cs="Times New Roman"/>
          <w:sz w:val="28"/>
          <w:szCs w:val="28"/>
        </w:rPr>
        <w:t xml:space="preserve">in spazi </w:t>
      </w:r>
      <w:r w:rsidR="00AA108F">
        <w:rPr>
          <w:rFonts w:ascii="Times New Roman" w:hAnsi="Times New Roman" w:cs="Times New Roman"/>
          <w:sz w:val="28"/>
          <w:szCs w:val="28"/>
        </w:rPr>
        <w:t xml:space="preserve">tali da </w:t>
      </w:r>
      <w:r w:rsidR="006E6E45" w:rsidRPr="00A61AF0">
        <w:rPr>
          <w:rFonts w:ascii="Times New Roman" w:hAnsi="Times New Roman" w:cs="Times New Roman"/>
          <w:sz w:val="28"/>
          <w:szCs w:val="28"/>
        </w:rPr>
        <w:t>non consenti</w:t>
      </w:r>
      <w:r w:rsidR="00AA108F">
        <w:rPr>
          <w:rFonts w:ascii="Times New Roman" w:hAnsi="Times New Roman" w:cs="Times New Roman"/>
          <w:sz w:val="28"/>
          <w:szCs w:val="28"/>
        </w:rPr>
        <w:t>re</w:t>
      </w:r>
      <w:r w:rsidR="006E6E45" w:rsidRPr="00A61AF0">
        <w:rPr>
          <w:rFonts w:ascii="Times New Roman" w:hAnsi="Times New Roman" w:cs="Times New Roman"/>
          <w:sz w:val="28"/>
          <w:szCs w:val="28"/>
        </w:rPr>
        <w:t xml:space="preserve"> agli occupanti della cella la </w:t>
      </w:r>
      <w:r w:rsidR="007548D5">
        <w:rPr>
          <w:rFonts w:ascii="Times New Roman" w:hAnsi="Times New Roman" w:cs="Times New Roman"/>
          <w:sz w:val="28"/>
          <w:szCs w:val="28"/>
        </w:rPr>
        <w:t>disponibilità</w:t>
      </w:r>
      <w:r w:rsidR="006E6E45" w:rsidRPr="00A61AF0">
        <w:rPr>
          <w:rFonts w:ascii="Times New Roman" w:hAnsi="Times New Roman" w:cs="Times New Roman"/>
          <w:sz w:val="28"/>
          <w:szCs w:val="28"/>
        </w:rPr>
        <w:t xml:space="preserve"> di almeno 3 mq di spazio p</w:t>
      </w:r>
      <w:r w:rsidR="00A16B20">
        <w:rPr>
          <w:rFonts w:ascii="Times New Roman" w:hAnsi="Times New Roman" w:cs="Times New Roman"/>
          <w:sz w:val="28"/>
          <w:szCs w:val="28"/>
        </w:rPr>
        <w:t>ersonale</w:t>
      </w:r>
      <w:r w:rsidR="006E6E45" w:rsidRPr="00A61AF0">
        <w:rPr>
          <w:rFonts w:ascii="Times New Roman" w:hAnsi="Times New Roman" w:cs="Times New Roman"/>
          <w:sz w:val="28"/>
          <w:szCs w:val="28"/>
        </w:rPr>
        <w:t xml:space="preserve">. </w:t>
      </w:r>
    </w:p>
    <w:p w:rsidR="00AA108F" w:rsidRDefault="00A61AF0" w:rsidP="007548D5">
      <w:pPr>
        <w:tabs>
          <w:tab w:val="left" w:pos="993"/>
        </w:tabs>
        <w:spacing w:after="120" w:line="240" w:lineRule="auto"/>
        <w:ind w:left="284"/>
        <w:jc w:val="both"/>
        <w:rPr>
          <w:rFonts w:ascii="Times New Roman" w:hAnsi="Times New Roman" w:cs="Times New Roman"/>
          <w:sz w:val="28"/>
          <w:szCs w:val="28"/>
        </w:rPr>
      </w:pPr>
      <w:r>
        <w:rPr>
          <w:rFonts w:ascii="Times New Roman" w:hAnsi="Times New Roman" w:cs="Times New Roman"/>
          <w:sz w:val="28"/>
          <w:szCs w:val="28"/>
        </w:rPr>
        <w:t>L’arresto ha creato un certo disorientamento tra gli operatori</w:t>
      </w:r>
      <w:r w:rsidR="004A6781">
        <w:rPr>
          <w:rFonts w:ascii="Times New Roman" w:hAnsi="Times New Roman" w:cs="Times New Roman"/>
          <w:sz w:val="28"/>
          <w:szCs w:val="28"/>
        </w:rPr>
        <w:t xml:space="preserve"> che, sia pure con qualche inevitabile incertezza dovuta alla relativa “novità” della materia, iniziavano a consolidare l’assunto</w:t>
      </w:r>
      <w:r>
        <w:rPr>
          <w:rFonts w:ascii="Times New Roman" w:hAnsi="Times New Roman" w:cs="Times New Roman"/>
          <w:sz w:val="28"/>
          <w:szCs w:val="28"/>
        </w:rPr>
        <w:t xml:space="preserve"> </w:t>
      </w:r>
      <w:r w:rsidR="004A6781">
        <w:rPr>
          <w:rFonts w:ascii="Times New Roman" w:hAnsi="Times New Roman" w:cs="Times New Roman"/>
          <w:sz w:val="28"/>
          <w:szCs w:val="28"/>
        </w:rPr>
        <w:t>per cui, accertat</w:t>
      </w:r>
      <w:r w:rsidR="00A16B20">
        <w:rPr>
          <w:rFonts w:ascii="Times New Roman" w:hAnsi="Times New Roman" w:cs="Times New Roman"/>
          <w:sz w:val="28"/>
          <w:szCs w:val="28"/>
        </w:rPr>
        <w:t>o</w:t>
      </w:r>
      <w:r w:rsidR="004A6781">
        <w:rPr>
          <w:rFonts w:ascii="Times New Roman" w:hAnsi="Times New Roman" w:cs="Times New Roman"/>
          <w:sz w:val="28"/>
          <w:szCs w:val="28"/>
        </w:rPr>
        <w:t xml:space="preserve"> nella fattispecie concreta</w:t>
      </w:r>
      <w:r w:rsidR="00BF27D9">
        <w:rPr>
          <w:rFonts w:ascii="Times New Roman" w:hAnsi="Times New Roman" w:cs="Times New Roman"/>
          <w:sz w:val="28"/>
          <w:szCs w:val="28"/>
        </w:rPr>
        <w:t xml:space="preserve"> che la persona detenuta a</w:t>
      </w:r>
      <w:r w:rsidR="005B2B15">
        <w:rPr>
          <w:rFonts w:ascii="Times New Roman" w:hAnsi="Times New Roman" w:cs="Times New Roman"/>
          <w:sz w:val="28"/>
          <w:szCs w:val="28"/>
        </w:rPr>
        <w:t>vesse</w:t>
      </w:r>
      <w:r w:rsidR="00BF27D9">
        <w:rPr>
          <w:rFonts w:ascii="Times New Roman" w:hAnsi="Times New Roman" w:cs="Times New Roman"/>
          <w:sz w:val="28"/>
          <w:szCs w:val="28"/>
        </w:rPr>
        <w:t xml:space="preserve"> </w:t>
      </w:r>
      <w:r w:rsidR="007548D5">
        <w:rPr>
          <w:rFonts w:ascii="Times New Roman" w:hAnsi="Times New Roman" w:cs="Times New Roman"/>
          <w:sz w:val="28"/>
          <w:szCs w:val="28"/>
        </w:rPr>
        <w:t>fruito</w:t>
      </w:r>
      <w:r w:rsidR="00BF27D9">
        <w:rPr>
          <w:rFonts w:ascii="Times New Roman" w:hAnsi="Times New Roman" w:cs="Times New Roman"/>
          <w:sz w:val="28"/>
          <w:szCs w:val="28"/>
        </w:rPr>
        <w:t xml:space="preserve"> </w:t>
      </w:r>
      <w:r w:rsidR="005B2B15">
        <w:rPr>
          <w:rFonts w:ascii="Times New Roman" w:hAnsi="Times New Roman" w:cs="Times New Roman"/>
          <w:sz w:val="28"/>
          <w:szCs w:val="28"/>
        </w:rPr>
        <w:t>di una superficie “vivibile” (</w:t>
      </w:r>
      <w:r w:rsidR="00BB5118">
        <w:rPr>
          <w:rFonts w:ascii="Times New Roman" w:hAnsi="Times New Roman" w:cs="Times New Roman"/>
          <w:sz w:val="28"/>
          <w:szCs w:val="28"/>
        </w:rPr>
        <w:t>dedotto</w:t>
      </w:r>
      <w:r w:rsidR="005B2B15">
        <w:rPr>
          <w:rFonts w:ascii="Times New Roman" w:hAnsi="Times New Roman" w:cs="Times New Roman"/>
          <w:sz w:val="28"/>
          <w:szCs w:val="28"/>
        </w:rPr>
        <w:t>, cioè, de</w:t>
      </w:r>
      <w:r w:rsidR="007561CB">
        <w:rPr>
          <w:rFonts w:ascii="Times New Roman" w:hAnsi="Times New Roman" w:cs="Times New Roman"/>
          <w:sz w:val="28"/>
          <w:szCs w:val="28"/>
        </w:rPr>
        <w:t>ll’ingombro de</w:t>
      </w:r>
      <w:r w:rsidR="005B2B15">
        <w:rPr>
          <w:rFonts w:ascii="Times New Roman" w:hAnsi="Times New Roman" w:cs="Times New Roman"/>
          <w:sz w:val="28"/>
          <w:szCs w:val="28"/>
        </w:rPr>
        <w:t>gli arredi) inferiore a</w:t>
      </w:r>
      <w:r w:rsidR="00BF27D9">
        <w:rPr>
          <w:rFonts w:ascii="Times New Roman" w:hAnsi="Times New Roman" w:cs="Times New Roman"/>
          <w:sz w:val="28"/>
          <w:szCs w:val="28"/>
        </w:rPr>
        <w:t xml:space="preserve"> 3 mq</w:t>
      </w:r>
      <w:r w:rsidR="005B2B15">
        <w:rPr>
          <w:rFonts w:ascii="Times New Roman" w:hAnsi="Times New Roman" w:cs="Times New Roman"/>
          <w:sz w:val="28"/>
          <w:szCs w:val="28"/>
        </w:rPr>
        <w:t xml:space="preserve">, si </w:t>
      </w:r>
      <w:r w:rsidR="00A16B20">
        <w:rPr>
          <w:rFonts w:ascii="Times New Roman" w:hAnsi="Times New Roman" w:cs="Times New Roman"/>
          <w:sz w:val="28"/>
          <w:szCs w:val="28"/>
        </w:rPr>
        <w:t xml:space="preserve">riteneva </w:t>
      </w:r>
      <w:r w:rsidR="00AA108F">
        <w:rPr>
          <w:rFonts w:ascii="Times New Roman" w:hAnsi="Times New Roman" w:cs="Times New Roman"/>
          <w:sz w:val="28"/>
          <w:szCs w:val="28"/>
        </w:rPr>
        <w:t xml:space="preserve">perciò stesso </w:t>
      </w:r>
      <w:r w:rsidR="00A16B20">
        <w:rPr>
          <w:rFonts w:ascii="Times New Roman" w:hAnsi="Times New Roman" w:cs="Times New Roman"/>
          <w:sz w:val="28"/>
          <w:szCs w:val="28"/>
        </w:rPr>
        <w:t xml:space="preserve">realizzata </w:t>
      </w:r>
      <w:r w:rsidR="005B2B15">
        <w:rPr>
          <w:rFonts w:ascii="Times New Roman" w:hAnsi="Times New Roman" w:cs="Times New Roman"/>
          <w:sz w:val="28"/>
          <w:szCs w:val="28"/>
        </w:rPr>
        <w:t>un</w:t>
      </w:r>
      <w:r w:rsidR="00AA108F">
        <w:rPr>
          <w:rFonts w:ascii="Times New Roman" w:hAnsi="Times New Roman" w:cs="Times New Roman"/>
          <w:sz w:val="28"/>
          <w:szCs w:val="28"/>
        </w:rPr>
        <w:t>’</w:t>
      </w:r>
      <w:r w:rsidR="005B2B15">
        <w:rPr>
          <w:rFonts w:ascii="Times New Roman" w:hAnsi="Times New Roman" w:cs="Times New Roman"/>
          <w:sz w:val="28"/>
          <w:szCs w:val="28"/>
        </w:rPr>
        <w:t>incisione de</w:t>
      </w:r>
      <w:r w:rsidR="00AA108F">
        <w:rPr>
          <w:rFonts w:ascii="Times New Roman" w:hAnsi="Times New Roman" w:cs="Times New Roman"/>
          <w:sz w:val="28"/>
          <w:szCs w:val="28"/>
        </w:rPr>
        <w:t xml:space="preserve">i diritti fondamentali </w:t>
      </w:r>
      <w:r w:rsidR="005B2B15">
        <w:rPr>
          <w:rFonts w:ascii="Times New Roman" w:hAnsi="Times New Roman" w:cs="Times New Roman"/>
          <w:sz w:val="28"/>
          <w:szCs w:val="28"/>
        </w:rPr>
        <w:t xml:space="preserve">della persona detenuta, </w:t>
      </w:r>
      <w:r w:rsidR="00AA108F">
        <w:rPr>
          <w:rFonts w:ascii="Times New Roman" w:hAnsi="Times New Roman" w:cs="Times New Roman"/>
          <w:sz w:val="28"/>
          <w:szCs w:val="28"/>
        </w:rPr>
        <w:t xml:space="preserve">di </w:t>
      </w:r>
      <w:r w:rsidR="005B2B15">
        <w:rPr>
          <w:rFonts w:ascii="Times New Roman" w:hAnsi="Times New Roman" w:cs="Times New Roman"/>
          <w:sz w:val="28"/>
          <w:szCs w:val="28"/>
        </w:rPr>
        <w:t>tale</w:t>
      </w:r>
      <w:r w:rsidR="00AA108F">
        <w:rPr>
          <w:rFonts w:ascii="Times New Roman" w:hAnsi="Times New Roman" w:cs="Times New Roman"/>
          <w:sz w:val="28"/>
          <w:szCs w:val="28"/>
        </w:rPr>
        <w:t xml:space="preserve"> gravità da </w:t>
      </w:r>
      <w:r w:rsidR="005B2B15">
        <w:rPr>
          <w:rFonts w:ascii="Times New Roman" w:hAnsi="Times New Roman" w:cs="Times New Roman"/>
          <w:sz w:val="28"/>
          <w:szCs w:val="28"/>
        </w:rPr>
        <w:t xml:space="preserve">integrare </w:t>
      </w:r>
      <w:r w:rsidR="00AA108F">
        <w:rPr>
          <w:rFonts w:ascii="Times New Roman" w:hAnsi="Times New Roman" w:cs="Times New Roman"/>
          <w:sz w:val="28"/>
          <w:szCs w:val="28"/>
        </w:rPr>
        <w:t xml:space="preserve">“automaticamente” la </w:t>
      </w:r>
      <w:r w:rsidR="007548D5">
        <w:rPr>
          <w:rFonts w:ascii="Times New Roman" w:hAnsi="Times New Roman" w:cs="Times New Roman"/>
          <w:sz w:val="28"/>
          <w:szCs w:val="28"/>
        </w:rPr>
        <w:t>violazione dell’art.</w:t>
      </w:r>
      <w:r w:rsidR="007561CB">
        <w:rPr>
          <w:rFonts w:ascii="Times New Roman" w:hAnsi="Times New Roman" w:cs="Times New Roman"/>
          <w:sz w:val="28"/>
          <w:szCs w:val="28"/>
        </w:rPr>
        <w:t>3</w:t>
      </w:r>
      <w:r w:rsidR="007548D5">
        <w:rPr>
          <w:rFonts w:ascii="Times New Roman" w:hAnsi="Times New Roman" w:cs="Times New Roman"/>
          <w:sz w:val="28"/>
          <w:szCs w:val="28"/>
        </w:rPr>
        <w:t xml:space="preserve"> CEDU. </w:t>
      </w:r>
    </w:p>
    <w:p w:rsidR="007548D5" w:rsidRDefault="00AA108F" w:rsidP="007548D5">
      <w:pPr>
        <w:tabs>
          <w:tab w:val="left" w:pos="993"/>
        </w:tabs>
        <w:spacing w:after="120" w:line="240" w:lineRule="auto"/>
        <w:ind w:left="284"/>
        <w:jc w:val="both"/>
        <w:rPr>
          <w:rFonts w:ascii="Times New Roman" w:eastAsia="Times New Roman" w:hAnsi="Times New Roman" w:cs="Times New Roman"/>
          <w:sz w:val="28"/>
          <w:szCs w:val="28"/>
          <w:lang w:eastAsia="it-IT"/>
        </w:rPr>
      </w:pPr>
      <w:r>
        <w:rPr>
          <w:rFonts w:ascii="Times New Roman" w:hAnsi="Times New Roman" w:cs="Times New Roman"/>
          <w:sz w:val="28"/>
          <w:szCs w:val="28"/>
        </w:rPr>
        <w:t>Tale assunto</w:t>
      </w:r>
      <w:r w:rsidR="007561CB">
        <w:rPr>
          <w:rFonts w:ascii="Times New Roman" w:hAnsi="Times New Roman" w:cs="Times New Roman"/>
          <w:sz w:val="28"/>
          <w:szCs w:val="28"/>
        </w:rPr>
        <w:t>,</w:t>
      </w:r>
      <w:r w:rsidR="007548D5">
        <w:rPr>
          <w:rFonts w:ascii="Times New Roman" w:hAnsi="Times New Roman" w:cs="Times New Roman"/>
          <w:sz w:val="28"/>
          <w:szCs w:val="28"/>
        </w:rPr>
        <w:t xml:space="preserve"> generalmente </w:t>
      </w:r>
      <w:r>
        <w:rPr>
          <w:rFonts w:ascii="Times New Roman" w:hAnsi="Times New Roman" w:cs="Times New Roman"/>
          <w:sz w:val="28"/>
          <w:szCs w:val="28"/>
        </w:rPr>
        <w:t>condiviso</w:t>
      </w:r>
      <w:r w:rsidR="007548D5">
        <w:rPr>
          <w:rFonts w:ascii="Times New Roman" w:hAnsi="Times New Roman" w:cs="Times New Roman"/>
          <w:sz w:val="28"/>
          <w:szCs w:val="28"/>
        </w:rPr>
        <w:t xml:space="preserve"> </w:t>
      </w:r>
      <w:r>
        <w:rPr>
          <w:rFonts w:ascii="Times New Roman" w:hAnsi="Times New Roman" w:cs="Times New Roman"/>
          <w:sz w:val="28"/>
          <w:szCs w:val="28"/>
        </w:rPr>
        <w:t>da</w:t>
      </w:r>
      <w:r w:rsidR="007561CB">
        <w:rPr>
          <w:rFonts w:ascii="Times New Roman" w:hAnsi="Times New Roman" w:cs="Times New Roman"/>
          <w:sz w:val="28"/>
          <w:szCs w:val="28"/>
        </w:rPr>
        <w:t xml:space="preserve">lla </w:t>
      </w:r>
      <w:r w:rsidR="00BB5118">
        <w:rPr>
          <w:rFonts w:ascii="Times New Roman" w:hAnsi="Times New Roman" w:cs="Times New Roman"/>
          <w:sz w:val="28"/>
          <w:szCs w:val="28"/>
        </w:rPr>
        <w:t xml:space="preserve">prima </w:t>
      </w:r>
      <w:r w:rsidR="007561CB">
        <w:rPr>
          <w:rFonts w:ascii="Times New Roman" w:hAnsi="Times New Roman" w:cs="Times New Roman"/>
          <w:sz w:val="28"/>
          <w:szCs w:val="28"/>
        </w:rPr>
        <w:t>giurisprudenza di merito</w:t>
      </w:r>
      <w:r w:rsidR="00BB5118">
        <w:rPr>
          <w:rFonts w:ascii="Times New Roman" w:hAnsi="Times New Roman" w:cs="Times New Roman"/>
          <w:sz w:val="28"/>
          <w:szCs w:val="28"/>
        </w:rPr>
        <w:t xml:space="preserve"> formatasi sui “rimedi risarcitori”</w:t>
      </w:r>
      <w:r w:rsidR="007561CB">
        <w:rPr>
          <w:rFonts w:ascii="Times New Roman" w:hAnsi="Times New Roman" w:cs="Times New Roman"/>
          <w:sz w:val="28"/>
          <w:szCs w:val="28"/>
        </w:rPr>
        <w:t xml:space="preserve">, </w:t>
      </w:r>
      <w:r w:rsidR="005B2B15">
        <w:rPr>
          <w:rFonts w:ascii="Times New Roman" w:hAnsi="Times New Roman" w:cs="Times New Roman"/>
          <w:sz w:val="28"/>
          <w:szCs w:val="28"/>
        </w:rPr>
        <w:t xml:space="preserve">guarda, infatti, alle indicazioni fornite dal </w:t>
      </w:r>
      <w:proofErr w:type="spellStart"/>
      <w:r w:rsidR="00A61AF0" w:rsidRPr="00A61AF0">
        <w:rPr>
          <w:rFonts w:ascii="Times New Roman" w:eastAsia="Times New Roman" w:hAnsi="Times New Roman" w:cs="Times New Roman"/>
          <w:i/>
          <w:iCs/>
          <w:sz w:val="28"/>
          <w:szCs w:val="28"/>
          <w:lang w:eastAsia="it-IT"/>
        </w:rPr>
        <w:t>Committee</w:t>
      </w:r>
      <w:proofErr w:type="spellEnd"/>
      <w:r w:rsidR="00A61AF0" w:rsidRPr="00A61AF0">
        <w:rPr>
          <w:rFonts w:ascii="Times New Roman" w:eastAsia="Times New Roman" w:hAnsi="Times New Roman" w:cs="Times New Roman"/>
          <w:i/>
          <w:iCs/>
          <w:sz w:val="28"/>
          <w:szCs w:val="28"/>
          <w:lang w:eastAsia="it-IT"/>
        </w:rPr>
        <w:t xml:space="preserve"> for </w:t>
      </w:r>
      <w:proofErr w:type="spellStart"/>
      <w:r w:rsidR="00A61AF0" w:rsidRPr="00A61AF0">
        <w:rPr>
          <w:rFonts w:ascii="Times New Roman" w:eastAsia="Times New Roman" w:hAnsi="Times New Roman" w:cs="Times New Roman"/>
          <w:i/>
          <w:iCs/>
          <w:sz w:val="28"/>
          <w:szCs w:val="28"/>
          <w:lang w:eastAsia="it-IT"/>
        </w:rPr>
        <w:t>Prevention</w:t>
      </w:r>
      <w:proofErr w:type="spellEnd"/>
      <w:r w:rsidR="00A61AF0" w:rsidRPr="00A61AF0">
        <w:rPr>
          <w:rFonts w:ascii="Times New Roman" w:eastAsia="Times New Roman" w:hAnsi="Times New Roman" w:cs="Times New Roman"/>
          <w:i/>
          <w:iCs/>
          <w:sz w:val="28"/>
          <w:szCs w:val="28"/>
          <w:lang w:eastAsia="it-IT"/>
        </w:rPr>
        <w:t xml:space="preserve"> of </w:t>
      </w:r>
      <w:r w:rsidR="00A61AF0" w:rsidRPr="00EC2C3F">
        <w:rPr>
          <w:rFonts w:ascii="Times New Roman" w:eastAsia="Times New Roman" w:hAnsi="Times New Roman" w:cs="Times New Roman"/>
          <w:i/>
          <w:iCs/>
          <w:sz w:val="28"/>
          <w:szCs w:val="28"/>
          <w:lang w:eastAsia="it-IT"/>
        </w:rPr>
        <w:t>Torture</w:t>
      </w:r>
      <w:r w:rsidR="00A61AF0" w:rsidRPr="00EC2C3F">
        <w:rPr>
          <w:rFonts w:ascii="Times New Roman" w:eastAsia="Times New Roman" w:hAnsi="Times New Roman" w:cs="Times New Roman"/>
          <w:sz w:val="28"/>
          <w:szCs w:val="28"/>
          <w:lang w:eastAsia="it-IT"/>
        </w:rPr>
        <w:t xml:space="preserve"> del Consiglio d'Europa, </w:t>
      </w:r>
      <w:r w:rsidR="005B2B15" w:rsidRPr="00EC2C3F">
        <w:rPr>
          <w:rFonts w:ascii="Times New Roman" w:eastAsia="Times New Roman" w:hAnsi="Times New Roman" w:cs="Times New Roman"/>
          <w:sz w:val="28"/>
          <w:szCs w:val="28"/>
          <w:lang w:eastAsia="it-IT"/>
        </w:rPr>
        <w:t xml:space="preserve">che auspica, </w:t>
      </w:r>
      <w:r w:rsidR="00A61AF0" w:rsidRPr="00EC2C3F">
        <w:rPr>
          <w:rFonts w:ascii="Times New Roman" w:eastAsia="Times New Roman" w:hAnsi="Times New Roman" w:cs="Times New Roman"/>
          <w:sz w:val="28"/>
          <w:szCs w:val="28"/>
          <w:lang w:eastAsia="it-IT"/>
        </w:rPr>
        <w:t>per le c</w:t>
      </w:r>
      <w:r w:rsidR="005B2B15" w:rsidRPr="00EC2C3F">
        <w:rPr>
          <w:rFonts w:ascii="Times New Roman" w:eastAsia="Times New Roman" w:hAnsi="Times New Roman" w:cs="Times New Roman"/>
          <w:sz w:val="28"/>
          <w:szCs w:val="28"/>
          <w:lang w:eastAsia="it-IT"/>
        </w:rPr>
        <w:t xml:space="preserve">amere </w:t>
      </w:r>
      <w:r w:rsidR="00A61AF0" w:rsidRPr="00EC2C3F">
        <w:rPr>
          <w:rFonts w:ascii="Times New Roman" w:eastAsia="Times New Roman" w:hAnsi="Times New Roman" w:cs="Times New Roman"/>
          <w:sz w:val="28"/>
          <w:szCs w:val="28"/>
          <w:lang w:eastAsia="it-IT"/>
        </w:rPr>
        <w:t>individuali</w:t>
      </w:r>
      <w:r w:rsidR="005B2B15" w:rsidRPr="00EC2C3F">
        <w:rPr>
          <w:rFonts w:ascii="Times New Roman" w:eastAsia="Times New Roman" w:hAnsi="Times New Roman" w:cs="Times New Roman"/>
          <w:sz w:val="28"/>
          <w:szCs w:val="28"/>
          <w:lang w:eastAsia="it-IT"/>
        </w:rPr>
        <w:t xml:space="preserve">, lo spazio di </w:t>
      </w:r>
      <w:r w:rsidR="00A61AF0" w:rsidRPr="00EC2C3F">
        <w:rPr>
          <w:rFonts w:ascii="Times New Roman" w:eastAsia="Times New Roman" w:hAnsi="Times New Roman" w:cs="Times New Roman"/>
          <w:sz w:val="28"/>
          <w:szCs w:val="28"/>
          <w:lang w:eastAsia="it-IT"/>
        </w:rPr>
        <w:t xml:space="preserve">7 mq </w:t>
      </w:r>
      <w:r w:rsidR="005B2B15" w:rsidRPr="00EC2C3F">
        <w:rPr>
          <w:rFonts w:ascii="Times New Roman" w:eastAsia="Times New Roman" w:hAnsi="Times New Roman" w:cs="Times New Roman"/>
          <w:sz w:val="28"/>
          <w:szCs w:val="28"/>
          <w:lang w:eastAsia="it-IT"/>
        </w:rPr>
        <w:t>a</w:t>
      </w:r>
      <w:r w:rsidR="00A61AF0" w:rsidRPr="00EC2C3F">
        <w:rPr>
          <w:rFonts w:ascii="Times New Roman" w:eastAsia="Times New Roman" w:hAnsi="Times New Roman" w:cs="Times New Roman"/>
          <w:sz w:val="28"/>
          <w:szCs w:val="28"/>
          <w:lang w:eastAsia="it-IT"/>
        </w:rPr>
        <w:t xml:space="preserve"> persona e per quelle collettive </w:t>
      </w:r>
      <w:r w:rsidR="005B2B15" w:rsidRPr="00EC2C3F">
        <w:rPr>
          <w:rFonts w:ascii="Times New Roman" w:eastAsia="Times New Roman" w:hAnsi="Times New Roman" w:cs="Times New Roman"/>
          <w:sz w:val="28"/>
          <w:szCs w:val="28"/>
          <w:lang w:eastAsia="it-IT"/>
        </w:rPr>
        <w:t xml:space="preserve">la superficie </w:t>
      </w:r>
      <w:r w:rsidR="00A61AF0" w:rsidRPr="00EC2C3F">
        <w:rPr>
          <w:rFonts w:ascii="Times New Roman" w:eastAsia="Times New Roman" w:hAnsi="Times New Roman" w:cs="Times New Roman"/>
          <w:sz w:val="28"/>
          <w:szCs w:val="28"/>
          <w:lang w:eastAsia="it-IT"/>
        </w:rPr>
        <w:t xml:space="preserve">di 4 mq per </w:t>
      </w:r>
      <w:r w:rsidR="005B2B15" w:rsidRPr="00EC2C3F">
        <w:rPr>
          <w:rFonts w:ascii="Times New Roman" w:eastAsia="Times New Roman" w:hAnsi="Times New Roman" w:cs="Times New Roman"/>
          <w:sz w:val="28"/>
          <w:szCs w:val="28"/>
          <w:lang w:eastAsia="it-IT"/>
        </w:rPr>
        <w:t>detenuto</w:t>
      </w:r>
      <w:r>
        <w:rPr>
          <w:rFonts w:ascii="Times New Roman" w:eastAsia="Times New Roman" w:hAnsi="Times New Roman" w:cs="Times New Roman"/>
          <w:sz w:val="28"/>
          <w:szCs w:val="28"/>
          <w:lang w:eastAsia="it-IT"/>
        </w:rPr>
        <w:t xml:space="preserve"> e all’orientamento espresso dalla </w:t>
      </w:r>
      <w:r w:rsidR="007561CB">
        <w:rPr>
          <w:rFonts w:ascii="Times New Roman" w:eastAsia="Times New Roman" w:hAnsi="Times New Roman" w:cs="Times New Roman"/>
          <w:sz w:val="28"/>
          <w:szCs w:val="28"/>
          <w:lang w:eastAsia="it-IT"/>
        </w:rPr>
        <w:t xml:space="preserve">stessa </w:t>
      </w:r>
      <w:r w:rsidR="00A61AF0" w:rsidRPr="00EC2C3F">
        <w:rPr>
          <w:rFonts w:ascii="Times New Roman" w:eastAsia="Times New Roman" w:hAnsi="Times New Roman" w:cs="Times New Roman"/>
          <w:sz w:val="28"/>
          <w:szCs w:val="28"/>
          <w:lang w:eastAsia="it-IT"/>
        </w:rPr>
        <w:t xml:space="preserve">Corte </w:t>
      </w:r>
      <w:proofErr w:type="spellStart"/>
      <w:r w:rsidR="007548D5">
        <w:rPr>
          <w:rFonts w:ascii="Times New Roman" w:eastAsia="Times New Roman" w:hAnsi="Times New Roman" w:cs="Times New Roman"/>
          <w:sz w:val="28"/>
          <w:szCs w:val="28"/>
          <w:lang w:eastAsia="it-IT"/>
        </w:rPr>
        <w:t>edu</w:t>
      </w:r>
      <w:proofErr w:type="spellEnd"/>
      <w:r>
        <w:rPr>
          <w:rFonts w:ascii="Times New Roman" w:eastAsia="Times New Roman" w:hAnsi="Times New Roman" w:cs="Times New Roman"/>
          <w:sz w:val="28"/>
          <w:szCs w:val="28"/>
          <w:lang w:eastAsia="it-IT"/>
        </w:rPr>
        <w:t xml:space="preserve"> che</w:t>
      </w:r>
      <w:r w:rsidR="00A61AF0" w:rsidRPr="00EC2C3F">
        <w:rPr>
          <w:rFonts w:ascii="Times New Roman" w:eastAsia="Times New Roman" w:hAnsi="Times New Roman" w:cs="Times New Roman"/>
          <w:sz w:val="28"/>
          <w:szCs w:val="28"/>
          <w:lang w:eastAsia="it-IT"/>
        </w:rPr>
        <w:t xml:space="preserve"> </w:t>
      </w:r>
      <w:r w:rsidR="007548D5">
        <w:rPr>
          <w:rFonts w:ascii="Times New Roman" w:eastAsia="Times New Roman" w:hAnsi="Times New Roman" w:cs="Times New Roman"/>
          <w:sz w:val="28"/>
          <w:szCs w:val="28"/>
          <w:lang w:eastAsia="it-IT"/>
        </w:rPr>
        <w:t>ha</w:t>
      </w:r>
      <w:r w:rsidR="007561CB">
        <w:rPr>
          <w:rFonts w:ascii="Times New Roman" w:eastAsia="Times New Roman" w:hAnsi="Times New Roman" w:cs="Times New Roman"/>
          <w:sz w:val="28"/>
          <w:szCs w:val="28"/>
          <w:lang w:eastAsia="it-IT"/>
        </w:rPr>
        <w:t>,</w:t>
      </w:r>
      <w:r w:rsidR="007548D5">
        <w:rPr>
          <w:rFonts w:ascii="Times New Roman" w:eastAsia="Times New Roman" w:hAnsi="Times New Roman" w:cs="Times New Roman"/>
          <w:sz w:val="28"/>
          <w:szCs w:val="28"/>
          <w:lang w:eastAsia="it-IT"/>
        </w:rPr>
        <w:t xml:space="preserve"> </w:t>
      </w:r>
      <w:r w:rsidR="005B2B15" w:rsidRPr="00EC2C3F">
        <w:rPr>
          <w:rFonts w:ascii="Times New Roman" w:eastAsia="Times New Roman" w:hAnsi="Times New Roman" w:cs="Times New Roman"/>
          <w:sz w:val="28"/>
          <w:szCs w:val="28"/>
          <w:lang w:eastAsia="it-IT"/>
        </w:rPr>
        <w:t>in via di massima</w:t>
      </w:r>
      <w:r w:rsidR="007561CB">
        <w:rPr>
          <w:rFonts w:ascii="Times New Roman" w:eastAsia="Times New Roman" w:hAnsi="Times New Roman" w:cs="Times New Roman"/>
          <w:sz w:val="28"/>
          <w:szCs w:val="28"/>
          <w:lang w:eastAsia="it-IT"/>
        </w:rPr>
        <w:t>,</w:t>
      </w:r>
      <w:r w:rsidR="005B2B15" w:rsidRPr="00EC2C3F">
        <w:rPr>
          <w:rFonts w:ascii="Times New Roman" w:eastAsia="Times New Roman" w:hAnsi="Times New Roman" w:cs="Times New Roman"/>
          <w:sz w:val="28"/>
          <w:szCs w:val="28"/>
          <w:lang w:eastAsia="it-IT"/>
        </w:rPr>
        <w:t xml:space="preserve"> sempre </w:t>
      </w:r>
      <w:r w:rsidR="00BB5118">
        <w:rPr>
          <w:rFonts w:ascii="Times New Roman" w:eastAsia="Times New Roman" w:hAnsi="Times New Roman" w:cs="Times New Roman"/>
          <w:sz w:val="28"/>
          <w:szCs w:val="28"/>
          <w:lang w:eastAsia="it-IT"/>
        </w:rPr>
        <w:t>considerato</w:t>
      </w:r>
      <w:r w:rsidR="00A61AF0" w:rsidRPr="00EC2C3F">
        <w:rPr>
          <w:rFonts w:ascii="Times New Roman" w:eastAsia="Times New Roman" w:hAnsi="Times New Roman" w:cs="Times New Roman"/>
          <w:sz w:val="28"/>
          <w:szCs w:val="28"/>
          <w:lang w:eastAsia="it-IT"/>
        </w:rPr>
        <w:t xml:space="preserve"> </w:t>
      </w:r>
      <w:r w:rsidR="007561CB">
        <w:rPr>
          <w:rFonts w:ascii="Times New Roman" w:eastAsia="Times New Roman" w:hAnsi="Times New Roman" w:cs="Times New Roman"/>
          <w:sz w:val="28"/>
          <w:szCs w:val="28"/>
          <w:lang w:eastAsia="it-IT"/>
        </w:rPr>
        <w:t xml:space="preserve">la disponibilità di spazio personale inferiore a 3 mq un trattamento talmente grave da costituire </w:t>
      </w:r>
      <w:r w:rsidR="007561CB" w:rsidRPr="007561CB">
        <w:rPr>
          <w:rFonts w:ascii="Times New Roman" w:eastAsia="Times New Roman" w:hAnsi="Times New Roman" w:cs="Times New Roman"/>
          <w:i/>
          <w:sz w:val="28"/>
          <w:szCs w:val="28"/>
          <w:lang w:eastAsia="it-IT"/>
        </w:rPr>
        <w:t>ex se</w:t>
      </w:r>
      <w:r w:rsidR="007561CB">
        <w:rPr>
          <w:rFonts w:ascii="Times New Roman" w:eastAsia="Times New Roman" w:hAnsi="Times New Roman" w:cs="Times New Roman"/>
          <w:sz w:val="28"/>
          <w:szCs w:val="28"/>
          <w:lang w:eastAsia="it-IT"/>
        </w:rPr>
        <w:t xml:space="preserve"> una </w:t>
      </w:r>
      <w:r w:rsidR="00A61AF0" w:rsidRPr="00EC2C3F">
        <w:rPr>
          <w:rFonts w:ascii="Times New Roman" w:eastAsia="Times New Roman" w:hAnsi="Times New Roman" w:cs="Times New Roman"/>
          <w:sz w:val="28"/>
          <w:szCs w:val="28"/>
          <w:lang w:eastAsia="it-IT"/>
        </w:rPr>
        <w:t xml:space="preserve">violazione </w:t>
      </w:r>
      <w:r w:rsidR="005B2B15" w:rsidRPr="00EC2C3F">
        <w:rPr>
          <w:rFonts w:ascii="Times New Roman" w:eastAsia="Times New Roman" w:hAnsi="Times New Roman" w:cs="Times New Roman"/>
          <w:sz w:val="28"/>
          <w:szCs w:val="28"/>
          <w:lang w:eastAsia="it-IT"/>
        </w:rPr>
        <w:t>comunitaria</w:t>
      </w:r>
      <w:r w:rsidR="007561CB">
        <w:rPr>
          <w:rFonts w:ascii="Times New Roman" w:eastAsia="Times New Roman" w:hAnsi="Times New Roman" w:cs="Times New Roman"/>
          <w:sz w:val="28"/>
          <w:szCs w:val="28"/>
          <w:lang w:eastAsia="it-IT"/>
        </w:rPr>
        <w:t xml:space="preserve">, mentre, nel caso di spazi detentivi compresi tra i 3 e i 4 mq, ha </w:t>
      </w:r>
      <w:r w:rsidR="00BB5118">
        <w:rPr>
          <w:rFonts w:ascii="Times New Roman" w:eastAsia="Times New Roman" w:hAnsi="Times New Roman" w:cs="Times New Roman"/>
          <w:sz w:val="28"/>
          <w:szCs w:val="28"/>
          <w:lang w:eastAsia="it-IT"/>
        </w:rPr>
        <w:t xml:space="preserve">ritenuto necessario </w:t>
      </w:r>
      <w:r w:rsidR="007561CB">
        <w:rPr>
          <w:rFonts w:ascii="Times New Roman" w:eastAsia="Times New Roman" w:hAnsi="Times New Roman" w:cs="Times New Roman"/>
          <w:sz w:val="28"/>
          <w:szCs w:val="28"/>
          <w:lang w:eastAsia="it-IT"/>
        </w:rPr>
        <w:t>pondera</w:t>
      </w:r>
      <w:r w:rsidR="00BB5118">
        <w:rPr>
          <w:rFonts w:ascii="Times New Roman" w:eastAsia="Times New Roman" w:hAnsi="Times New Roman" w:cs="Times New Roman"/>
          <w:sz w:val="28"/>
          <w:szCs w:val="28"/>
          <w:lang w:eastAsia="it-IT"/>
        </w:rPr>
        <w:t>re</w:t>
      </w:r>
      <w:r w:rsidR="007561CB">
        <w:rPr>
          <w:rFonts w:ascii="Times New Roman" w:eastAsia="Times New Roman" w:hAnsi="Times New Roman" w:cs="Times New Roman"/>
          <w:sz w:val="28"/>
          <w:szCs w:val="28"/>
          <w:lang w:eastAsia="it-IT"/>
        </w:rPr>
        <w:t xml:space="preserve"> </w:t>
      </w:r>
      <w:r w:rsidR="00BB5118">
        <w:rPr>
          <w:rFonts w:ascii="Times New Roman" w:eastAsia="Times New Roman" w:hAnsi="Times New Roman" w:cs="Times New Roman"/>
          <w:sz w:val="28"/>
          <w:szCs w:val="28"/>
          <w:lang w:eastAsia="it-IT"/>
        </w:rPr>
        <w:t xml:space="preserve">il fattore “spaziale” </w:t>
      </w:r>
      <w:r w:rsidR="007561CB">
        <w:rPr>
          <w:rFonts w:ascii="Times New Roman" w:eastAsia="Times New Roman" w:hAnsi="Times New Roman" w:cs="Times New Roman"/>
          <w:sz w:val="28"/>
          <w:szCs w:val="28"/>
          <w:lang w:eastAsia="it-IT"/>
        </w:rPr>
        <w:t>con altri elementi rilevanti nel caso di specie (quali, a es., la possibilità di permanenza all’aria aperta, le condizioni di illuminazione e di ventilazione delle camere detentive, etc.).</w:t>
      </w:r>
      <w:r w:rsidR="00A61AF0" w:rsidRPr="00EC2C3F">
        <w:rPr>
          <w:rFonts w:ascii="Times New Roman" w:eastAsia="Times New Roman" w:hAnsi="Times New Roman" w:cs="Times New Roman"/>
          <w:sz w:val="28"/>
          <w:szCs w:val="28"/>
          <w:lang w:eastAsia="it-IT"/>
        </w:rPr>
        <w:t xml:space="preserve"> </w:t>
      </w:r>
    </w:p>
    <w:p w:rsidR="00287A28" w:rsidRDefault="00A61AF0" w:rsidP="007548D5">
      <w:pPr>
        <w:tabs>
          <w:tab w:val="left" w:pos="993"/>
        </w:tabs>
        <w:spacing w:after="120" w:line="240" w:lineRule="auto"/>
        <w:ind w:left="284"/>
        <w:jc w:val="both"/>
        <w:rPr>
          <w:rFonts w:ascii="Times New Roman" w:eastAsia="Times New Roman" w:hAnsi="Times New Roman" w:cs="Times New Roman"/>
          <w:sz w:val="28"/>
          <w:szCs w:val="28"/>
          <w:lang w:eastAsia="it-IT"/>
        </w:rPr>
      </w:pPr>
      <w:r w:rsidRPr="00EC2C3F">
        <w:rPr>
          <w:rFonts w:ascii="Times New Roman" w:eastAsia="Times New Roman" w:hAnsi="Times New Roman" w:cs="Times New Roman"/>
          <w:sz w:val="28"/>
          <w:szCs w:val="28"/>
          <w:lang w:eastAsia="it-IT"/>
        </w:rPr>
        <w:t xml:space="preserve">In particolare, </w:t>
      </w:r>
      <w:r w:rsidR="00802AE1" w:rsidRPr="00EC2C3F">
        <w:rPr>
          <w:rFonts w:ascii="Times New Roman" w:eastAsia="Times New Roman" w:hAnsi="Times New Roman" w:cs="Times New Roman"/>
          <w:sz w:val="28"/>
          <w:szCs w:val="28"/>
          <w:lang w:eastAsia="it-IT"/>
        </w:rPr>
        <w:t xml:space="preserve">con riferimento alla giurisprudenza europea </w:t>
      </w:r>
      <w:r w:rsidR="00B468CC">
        <w:rPr>
          <w:rFonts w:ascii="Times New Roman" w:eastAsia="Times New Roman" w:hAnsi="Times New Roman" w:cs="Times New Roman"/>
          <w:sz w:val="28"/>
          <w:szCs w:val="28"/>
          <w:lang w:eastAsia="it-IT"/>
        </w:rPr>
        <w:t>formatasi sul patologico  sovraffollamento delle carceri italiane,</w:t>
      </w:r>
      <w:r w:rsidR="00802AE1" w:rsidRPr="00EC2C3F">
        <w:rPr>
          <w:rFonts w:ascii="Times New Roman" w:eastAsia="Times New Roman" w:hAnsi="Times New Roman" w:cs="Times New Roman"/>
          <w:sz w:val="28"/>
          <w:szCs w:val="28"/>
          <w:lang w:eastAsia="it-IT"/>
        </w:rPr>
        <w:t xml:space="preserve"> </w:t>
      </w:r>
      <w:r w:rsidR="00AA108F">
        <w:rPr>
          <w:rFonts w:ascii="Times New Roman" w:eastAsia="Times New Roman" w:hAnsi="Times New Roman" w:cs="Times New Roman"/>
          <w:sz w:val="28"/>
          <w:szCs w:val="28"/>
          <w:lang w:eastAsia="it-IT"/>
        </w:rPr>
        <w:t xml:space="preserve">già con la sentenza </w:t>
      </w:r>
      <w:r w:rsidR="00AA108F" w:rsidRPr="00EC2C3F">
        <w:rPr>
          <w:rFonts w:ascii="Times New Roman" w:eastAsia="Times New Roman" w:hAnsi="Times New Roman" w:cs="Times New Roman"/>
          <w:sz w:val="28"/>
          <w:szCs w:val="28"/>
          <w:lang w:eastAsia="it-IT"/>
        </w:rPr>
        <w:t>16 luglio 2009</w:t>
      </w:r>
      <w:r w:rsidR="00AA108F">
        <w:rPr>
          <w:rFonts w:ascii="Times New Roman" w:eastAsia="Times New Roman" w:hAnsi="Times New Roman" w:cs="Times New Roman"/>
          <w:sz w:val="28"/>
          <w:szCs w:val="28"/>
          <w:lang w:eastAsia="it-IT"/>
        </w:rPr>
        <w:t>,</w:t>
      </w:r>
      <w:r w:rsidR="00AA108F" w:rsidRPr="00EC2C3F">
        <w:rPr>
          <w:rFonts w:ascii="Times New Roman" w:eastAsia="Times New Roman" w:hAnsi="Times New Roman" w:cs="Times New Roman"/>
          <w:sz w:val="28"/>
          <w:szCs w:val="28"/>
          <w:lang w:eastAsia="it-IT"/>
        </w:rPr>
        <w:t xml:space="preserve"> </w:t>
      </w:r>
      <w:proofErr w:type="spellStart"/>
      <w:r w:rsidR="00AA108F" w:rsidRPr="00EC2C3F">
        <w:rPr>
          <w:rFonts w:ascii="Times New Roman" w:eastAsia="Times New Roman" w:hAnsi="Times New Roman" w:cs="Times New Roman"/>
          <w:i/>
          <w:iCs/>
          <w:sz w:val="28"/>
          <w:szCs w:val="28"/>
          <w:lang w:eastAsia="it-IT"/>
        </w:rPr>
        <w:t>Sulejmanovic</w:t>
      </w:r>
      <w:proofErr w:type="spellEnd"/>
      <w:r w:rsidR="00AA108F" w:rsidRPr="00EC2C3F">
        <w:rPr>
          <w:rFonts w:ascii="Times New Roman" w:eastAsia="Times New Roman" w:hAnsi="Times New Roman" w:cs="Times New Roman"/>
          <w:i/>
          <w:iCs/>
          <w:sz w:val="28"/>
          <w:szCs w:val="28"/>
          <w:lang w:eastAsia="it-IT"/>
        </w:rPr>
        <w:t xml:space="preserve"> c. Italia</w:t>
      </w:r>
      <w:r w:rsidR="00AA108F">
        <w:rPr>
          <w:rFonts w:ascii="Times New Roman" w:eastAsia="Times New Roman" w:hAnsi="Times New Roman" w:cs="Times New Roman"/>
          <w:i/>
          <w:iCs/>
          <w:sz w:val="28"/>
          <w:szCs w:val="28"/>
          <w:lang w:eastAsia="it-IT"/>
        </w:rPr>
        <w:t>,</w:t>
      </w:r>
      <w:r w:rsidR="00AA108F" w:rsidRPr="00EC2C3F">
        <w:rPr>
          <w:rFonts w:ascii="Times New Roman" w:eastAsia="Times New Roman" w:hAnsi="Times New Roman" w:cs="Times New Roman"/>
          <w:i/>
          <w:iCs/>
          <w:sz w:val="28"/>
          <w:szCs w:val="28"/>
          <w:lang w:eastAsia="it-IT"/>
        </w:rPr>
        <w:t xml:space="preserve"> </w:t>
      </w:r>
      <w:r w:rsidRPr="00EC2C3F">
        <w:rPr>
          <w:rFonts w:ascii="Times New Roman" w:eastAsia="Times New Roman" w:hAnsi="Times New Roman" w:cs="Times New Roman"/>
          <w:sz w:val="28"/>
          <w:szCs w:val="28"/>
          <w:lang w:eastAsia="it-IT"/>
        </w:rPr>
        <w:t xml:space="preserve">Strasburgo ha </w:t>
      </w:r>
      <w:r w:rsidR="00B468CC">
        <w:rPr>
          <w:rFonts w:ascii="Times New Roman" w:eastAsia="Times New Roman" w:hAnsi="Times New Roman" w:cs="Times New Roman"/>
          <w:sz w:val="28"/>
          <w:szCs w:val="28"/>
          <w:lang w:eastAsia="it-IT"/>
        </w:rPr>
        <w:t xml:space="preserve">accertato come </w:t>
      </w:r>
      <w:r w:rsidR="00802AE1" w:rsidRPr="00EC2C3F">
        <w:rPr>
          <w:rFonts w:ascii="Times New Roman" w:eastAsia="Times New Roman" w:hAnsi="Times New Roman" w:cs="Times New Roman"/>
          <w:sz w:val="28"/>
          <w:szCs w:val="28"/>
          <w:lang w:eastAsia="it-IT"/>
        </w:rPr>
        <w:t>grave violazione dei diritti fondamentali del detenuto</w:t>
      </w:r>
      <w:r w:rsidR="00B468CC">
        <w:rPr>
          <w:rFonts w:ascii="Times New Roman" w:eastAsia="Times New Roman" w:hAnsi="Times New Roman" w:cs="Times New Roman"/>
          <w:sz w:val="28"/>
          <w:szCs w:val="28"/>
          <w:lang w:eastAsia="it-IT"/>
        </w:rPr>
        <w:t xml:space="preserve"> il caso di </w:t>
      </w:r>
      <w:r w:rsidR="00484AB4">
        <w:rPr>
          <w:rFonts w:ascii="Times New Roman" w:eastAsia="Times New Roman" w:hAnsi="Times New Roman" w:cs="Times New Roman"/>
          <w:sz w:val="28"/>
          <w:szCs w:val="28"/>
          <w:lang w:eastAsia="it-IT"/>
        </w:rPr>
        <w:t xml:space="preserve">restrizione </w:t>
      </w:r>
      <w:r w:rsidR="00802AE1" w:rsidRPr="00EC2C3F">
        <w:rPr>
          <w:rFonts w:ascii="Times New Roman" w:eastAsia="Times New Roman" w:hAnsi="Times New Roman" w:cs="Times New Roman"/>
          <w:sz w:val="28"/>
          <w:szCs w:val="28"/>
          <w:lang w:eastAsia="it-IT"/>
        </w:rPr>
        <w:t>in spazi inferiori ai 3 mq</w:t>
      </w:r>
      <w:r w:rsidR="00AA108F">
        <w:rPr>
          <w:rFonts w:ascii="Times New Roman" w:eastAsia="Times New Roman" w:hAnsi="Times New Roman" w:cs="Times New Roman"/>
          <w:sz w:val="28"/>
          <w:szCs w:val="28"/>
          <w:lang w:eastAsia="it-IT"/>
        </w:rPr>
        <w:t xml:space="preserve">, affermando </w:t>
      </w:r>
      <w:r w:rsidR="00FC4E5F">
        <w:rPr>
          <w:rFonts w:ascii="Times New Roman" w:eastAsia="Times New Roman" w:hAnsi="Times New Roman" w:cs="Times New Roman"/>
          <w:sz w:val="28"/>
          <w:szCs w:val="28"/>
          <w:lang w:eastAsia="it-IT"/>
        </w:rPr>
        <w:t xml:space="preserve">il principio </w:t>
      </w:r>
      <w:r w:rsidRPr="00EC2C3F">
        <w:rPr>
          <w:rFonts w:ascii="Times New Roman" w:eastAsia="Times New Roman" w:hAnsi="Times New Roman" w:cs="Times New Roman"/>
          <w:sz w:val="28"/>
          <w:szCs w:val="28"/>
          <w:lang w:eastAsia="it-IT"/>
        </w:rPr>
        <w:t>che l'assenza di un</w:t>
      </w:r>
      <w:r w:rsidR="00802AE1" w:rsidRPr="00EC2C3F">
        <w:rPr>
          <w:rFonts w:ascii="Times New Roman" w:eastAsia="Times New Roman" w:hAnsi="Times New Roman" w:cs="Times New Roman"/>
          <w:sz w:val="28"/>
          <w:szCs w:val="28"/>
          <w:lang w:eastAsia="it-IT"/>
        </w:rPr>
        <w:t xml:space="preserve"> adeguato </w:t>
      </w:r>
      <w:r w:rsidRPr="00EC2C3F">
        <w:rPr>
          <w:rFonts w:ascii="Times New Roman" w:eastAsia="Times New Roman" w:hAnsi="Times New Roman" w:cs="Times New Roman"/>
          <w:sz w:val="28"/>
          <w:szCs w:val="28"/>
          <w:lang w:eastAsia="it-IT"/>
        </w:rPr>
        <w:t xml:space="preserve">spazio personale </w:t>
      </w:r>
      <w:r w:rsidR="00FC4E5F">
        <w:rPr>
          <w:rFonts w:ascii="Times New Roman" w:eastAsia="Times New Roman" w:hAnsi="Times New Roman" w:cs="Times New Roman"/>
          <w:sz w:val="28"/>
          <w:szCs w:val="28"/>
          <w:lang w:eastAsia="it-IT"/>
        </w:rPr>
        <w:t>va</w:t>
      </w:r>
      <w:r w:rsidRPr="00EC2C3F">
        <w:rPr>
          <w:rFonts w:ascii="Times New Roman" w:eastAsia="Times New Roman" w:hAnsi="Times New Roman" w:cs="Times New Roman"/>
          <w:sz w:val="28"/>
          <w:szCs w:val="28"/>
          <w:lang w:eastAsia="it-IT"/>
        </w:rPr>
        <w:t xml:space="preserve"> considerat</w:t>
      </w:r>
      <w:r w:rsidR="00FC4E5F">
        <w:rPr>
          <w:rFonts w:ascii="Times New Roman" w:eastAsia="Times New Roman" w:hAnsi="Times New Roman" w:cs="Times New Roman"/>
          <w:sz w:val="28"/>
          <w:szCs w:val="28"/>
          <w:lang w:eastAsia="it-IT"/>
        </w:rPr>
        <w:t>a</w:t>
      </w:r>
      <w:r w:rsidRPr="00EC2C3F">
        <w:rPr>
          <w:rFonts w:ascii="Times New Roman" w:eastAsia="Times New Roman" w:hAnsi="Times New Roman" w:cs="Times New Roman"/>
          <w:sz w:val="28"/>
          <w:szCs w:val="28"/>
          <w:lang w:eastAsia="it-IT"/>
        </w:rPr>
        <w:t xml:space="preserve"> i</w:t>
      </w:r>
      <w:r w:rsidR="00FC4E5F">
        <w:rPr>
          <w:rFonts w:ascii="Times New Roman" w:eastAsia="Times New Roman" w:hAnsi="Times New Roman" w:cs="Times New Roman"/>
          <w:sz w:val="28"/>
          <w:szCs w:val="28"/>
          <w:lang w:eastAsia="it-IT"/>
        </w:rPr>
        <w:t>n</w:t>
      </w:r>
      <w:r w:rsidRPr="00EC2C3F">
        <w:rPr>
          <w:rFonts w:ascii="Times New Roman" w:eastAsia="Times New Roman" w:hAnsi="Times New Roman" w:cs="Times New Roman"/>
          <w:sz w:val="28"/>
          <w:szCs w:val="28"/>
          <w:lang w:eastAsia="it-IT"/>
        </w:rPr>
        <w:t xml:space="preserve"> sé un </w:t>
      </w:r>
      <w:r w:rsidRPr="00EC2C3F">
        <w:rPr>
          <w:rFonts w:ascii="Times New Roman" w:eastAsia="Times New Roman" w:hAnsi="Times New Roman" w:cs="Times New Roman"/>
          <w:bCs/>
          <w:sz w:val="28"/>
          <w:szCs w:val="28"/>
          <w:lang w:eastAsia="it-IT"/>
        </w:rPr>
        <w:t>trattamento inumano o degradante</w:t>
      </w:r>
      <w:r w:rsidR="00802AE1" w:rsidRPr="00EC2C3F">
        <w:rPr>
          <w:rFonts w:ascii="Times New Roman" w:eastAsia="Times New Roman" w:hAnsi="Times New Roman" w:cs="Times New Roman"/>
          <w:bCs/>
          <w:sz w:val="28"/>
          <w:szCs w:val="28"/>
          <w:lang w:eastAsia="it-IT"/>
        </w:rPr>
        <w:t xml:space="preserve"> (in quell’occasione, il riferimento alla necessità di ponderare comunque il fattore spaziale con l’insieme delle altre condizioni detentive aveva trovato spazio solo nella </w:t>
      </w:r>
      <w:proofErr w:type="spellStart"/>
      <w:r w:rsidR="00802AE1" w:rsidRPr="00EC2C3F">
        <w:rPr>
          <w:rFonts w:ascii="Times New Roman" w:eastAsia="Times New Roman" w:hAnsi="Times New Roman" w:cs="Times New Roman"/>
          <w:bCs/>
          <w:i/>
          <w:sz w:val="28"/>
          <w:szCs w:val="28"/>
          <w:lang w:eastAsia="it-IT"/>
        </w:rPr>
        <w:t>dissenting</w:t>
      </w:r>
      <w:proofErr w:type="spellEnd"/>
      <w:r w:rsidR="00802AE1" w:rsidRPr="00EC2C3F">
        <w:rPr>
          <w:rFonts w:ascii="Times New Roman" w:eastAsia="Times New Roman" w:hAnsi="Times New Roman" w:cs="Times New Roman"/>
          <w:bCs/>
          <w:i/>
          <w:sz w:val="28"/>
          <w:szCs w:val="28"/>
          <w:lang w:eastAsia="it-IT"/>
        </w:rPr>
        <w:t xml:space="preserve"> opinion </w:t>
      </w:r>
      <w:r w:rsidR="00802AE1" w:rsidRPr="00EC2C3F">
        <w:rPr>
          <w:rFonts w:ascii="Times New Roman" w:eastAsia="Times New Roman" w:hAnsi="Times New Roman" w:cs="Times New Roman"/>
          <w:bCs/>
          <w:sz w:val="28"/>
          <w:szCs w:val="28"/>
          <w:lang w:eastAsia="it-IT"/>
        </w:rPr>
        <w:t xml:space="preserve">del giudice italiano </w:t>
      </w:r>
      <w:proofErr w:type="spellStart"/>
      <w:r w:rsidR="00802AE1" w:rsidRPr="00EC2C3F">
        <w:rPr>
          <w:rFonts w:ascii="Times New Roman" w:eastAsia="Times New Roman" w:hAnsi="Times New Roman" w:cs="Times New Roman"/>
          <w:bCs/>
          <w:sz w:val="28"/>
          <w:szCs w:val="28"/>
          <w:lang w:eastAsia="it-IT"/>
        </w:rPr>
        <w:t>Zagrebe</w:t>
      </w:r>
      <w:r w:rsidR="00CB43D3">
        <w:rPr>
          <w:rFonts w:ascii="Times New Roman" w:eastAsia="Times New Roman" w:hAnsi="Times New Roman" w:cs="Times New Roman"/>
          <w:bCs/>
          <w:sz w:val="28"/>
          <w:szCs w:val="28"/>
          <w:lang w:eastAsia="it-IT"/>
        </w:rPr>
        <w:t>lsky</w:t>
      </w:r>
      <w:proofErr w:type="spellEnd"/>
      <w:r w:rsidR="00484AB4">
        <w:rPr>
          <w:rFonts w:ascii="Times New Roman" w:eastAsia="Times New Roman" w:hAnsi="Times New Roman" w:cs="Times New Roman"/>
          <w:bCs/>
          <w:sz w:val="28"/>
          <w:szCs w:val="28"/>
          <w:lang w:eastAsia="it-IT"/>
        </w:rPr>
        <w:t>). Tale</w:t>
      </w:r>
      <w:r w:rsidR="007D358B">
        <w:rPr>
          <w:rFonts w:ascii="Times New Roman" w:eastAsia="Times New Roman" w:hAnsi="Times New Roman" w:cs="Times New Roman"/>
          <w:bCs/>
          <w:sz w:val="28"/>
          <w:szCs w:val="28"/>
          <w:lang w:eastAsia="it-IT"/>
        </w:rPr>
        <w:t xml:space="preserve"> indirizzo</w:t>
      </w:r>
      <w:r w:rsidR="00B468CC">
        <w:rPr>
          <w:rFonts w:ascii="Times New Roman" w:eastAsia="Times New Roman" w:hAnsi="Times New Roman" w:cs="Times New Roman"/>
          <w:bCs/>
          <w:sz w:val="28"/>
          <w:szCs w:val="28"/>
          <w:lang w:eastAsia="it-IT"/>
        </w:rPr>
        <w:t xml:space="preserve"> </w:t>
      </w:r>
      <w:r w:rsidR="00484AB4">
        <w:rPr>
          <w:rFonts w:ascii="Times New Roman" w:eastAsia="Times New Roman" w:hAnsi="Times New Roman" w:cs="Times New Roman"/>
          <w:bCs/>
          <w:sz w:val="28"/>
          <w:szCs w:val="28"/>
          <w:lang w:eastAsia="it-IT"/>
        </w:rPr>
        <w:t xml:space="preserve">è </w:t>
      </w:r>
      <w:r w:rsidR="00B468CC">
        <w:rPr>
          <w:rFonts w:ascii="Times New Roman" w:eastAsia="Times New Roman" w:hAnsi="Times New Roman" w:cs="Times New Roman"/>
          <w:bCs/>
          <w:sz w:val="28"/>
          <w:szCs w:val="28"/>
          <w:lang w:eastAsia="it-IT"/>
        </w:rPr>
        <w:t xml:space="preserve">stato </w:t>
      </w:r>
      <w:r w:rsidR="007D358B">
        <w:rPr>
          <w:rFonts w:ascii="Times New Roman" w:eastAsia="Times New Roman" w:hAnsi="Times New Roman" w:cs="Times New Roman"/>
          <w:bCs/>
          <w:sz w:val="28"/>
          <w:szCs w:val="28"/>
          <w:lang w:eastAsia="it-IT"/>
        </w:rPr>
        <w:t xml:space="preserve">successivamente </w:t>
      </w:r>
      <w:r w:rsidR="00802AE1" w:rsidRPr="00EC2C3F">
        <w:rPr>
          <w:rFonts w:ascii="Times New Roman" w:eastAsia="Times New Roman" w:hAnsi="Times New Roman" w:cs="Times New Roman"/>
          <w:bCs/>
          <w:sz w:val="28"/>
          <w:szCs w:val="28"/>
          <w:lang w:eastAsia="it-IT"/>
        </w:rPr>
        <w:t>conferma</w:t>
      </w:r>
      <w:r w:rsidR="00484AB4">
        <w:rPr>
          <w:rFonts w:ascii="Times New Roman" w:eastAsia="Times New Roman" w:hAnsi="Times New Roman" w:cs="Times New Roman"/>
          <w:bCs/>
          <w:sz w:val="28"/>
          <w:szCs w:val="28"/>
          <w:lang w:eastAsia="it-IT"/>
        </w:rPr>
        <w:t>to</w:t>
      </w:r>
      <w:r w:rsidR="00802AE1" w:rsidRPr="00EC2C3F">
        <w:rPr>
          <w:rFonts w:ascii="Times New Roman" w:eastAsia="Times New Roman" w:hAnsi="Times New Roman" w:cs="Times New Roman"/>
          <w:bCs/>
          <w:sz w:val="28"/>
          <w:szCs w:val="28"/>
          <w:lang w:eastAsia="it-IT"/>
        </w:rPr>
        <w:t xml:space="preserve"> </w:t>
      </w:r>
      <w:r w:rsidR="00484AB4">
        <w:rPr>
          <w:rFonts w:ascii="Times New Roman" w:eastAsia="Times New Roman" w:hAnsi="Times New Roman" w:cs="Times New Roman"/>
          <w:bCs/>
          <w:sz w:val="28"/>
          <w:szCs w:val="28"/>
          <w:lang w:eastAsia="it-IT"/>
        </w:rPr>
        <w:t>da</w:t>
      </w:r>
      <w:r w:rsidR="00802AE1" w:rsidRPr="00EC2C3F">
        <w:rPr>
          <w:rFonts w:ascii="Times New Roman" w:eastAsia="Times New Roman" w:hAnsi="Times New Roman" w:cs="Times New Roman"/>
          <w:bCs/>
          <w:sz w:val="28"/>
          <w:szCs w:val="28"/>
          <w:lang w:eastAsia="it-IT"/>
        </w:rPr>
        <w:t>lla sentenza</w:t>
      </w:r>
      <w:r w:rsidR="00AC76F4" w:rsidRPr="00EC2C3F">
        <w:rPr>
          <w:rFonts w:ascii="Times New Roman" w:eastAsia="Times New Roman" w:hAnsi="Times New Roman" w:cs="Times New Roman"/>
          <w:bCs/>
          <w:sz w:val="28"/>
          <w:szCs w:val="28"/>
          <w:lang w:eastAsia="it-IT"/>
        </w:rPr>
        <w:t>-pilota</w:t>
      </w:r>
      <w:r w:rsidR="00802AE1" w:rsidRPr="00EC2C3F">
        <w:rPr>
          <w:rFonts w:ascii="Times New Roman" w:eastAsia="Times New Roman" w:hAnsi="Times New Roman" w:cs="Times New Roman"/>
          <w:bCs/>
          <w:sz w:val="28"/>
          <w:szCs w:val="28"/>
          <w:lang w:eastAsia="it-IT"/>
        </w:rPr>
        <w:t xml:space="preserve"> dell’</w:t>
      </w:r>
      <w:r w:rsidRPr="00EC2C3F">
        <w:rPr>
          <w:rFonts w:ascii="Times New Roman" w:eastAsia="Times New Roman" w:hAnsi="Times New Roman" w:cs="Times New Roman"/>
          <w:sz w:val="28"/>
          <w:szCs w:val="28"/>
          <w:lang w:eastAsia="it-IT"/>
        </w:rPr>
        <w:t>8</w:t>
      </w:r>
      <w:r w:rsidR="00802AE1" w:rsidRPr="00EC2C3F">
        <w:rPr>
          <w:rFonts w:ascii="Times New Roman" w:eastAsia="Times New Roman" w:hAnsi="Times New Roman" w:cs="Times New Roman"/>
          <w:sz w:val="28"/>
          <w:szCs w:val="28"/>
          <w:lang w:eastAsia="it-IT"/>
        </w:rPr>
        <w:t xml:space="preserve"> gennaio 2</w:t>
      </w:r>
      <w:r w:rsidRPr="00EC2C3F">
        <w:rPr>
          <w:rFonts w:ascii="Times New Roman" w:eastAsia="Times New Roman" w:hAnsi="Times New Roman" w:cs="Times New Roman"/>
          <w:sz w:val="28"/>
          <w:szCs w:val="28"/>
          <w:lang w:eastAsia="it-IT"/>
        </w:rPr>
        <w:t>013</w:t>
      </w:r>
      <w:r w:rsidR="00802AE1" w:rsidRPr="00EC2C3F">
        <w:rPr>
          <w:rFonts w:ascii="Times New Roman" w:eastAsia="Times New Roman" w:hAnsi="Times New Roman" w:cs="Times New Roman"/>
          <w:sz w:val="28"/>
          <w:szCs w:val="28"/>
          <w:lang w:eastAsia="it-IT"/>
        </w:rPr>
        <w:t xml:space="preserve"> (</w:t>
      </w:r>
      <w:proofErr w:type="spellStart"/>
      <w:r w:rsidR="00802AE1" w:rsidRPr="00EC2C3F">
        <w:rPr>
          <w:rFonts w:ascii="Times New Roman" w:eastAsia="Times New Roman" w:hAnsi="Times New Roman" w:cs="Times New Roman"/>
          <w:i/>
          <w:sz w:val="28"/>
          <w:szCs w:val="28"/>
          <w:lang w:eastAsia="it-IT"/>
        </w:rPr>
        <w:t>Torreggiani</w:t>
      </w:r>
      <w:proofErr w:type="spellEnd"/>
      <w:r w:rsidR="00802AE1" w:rsidRPr="00EC2C3F">
        <w:rPr>
          <w:rFonts w:ascii="Times New Roman" w:eastAsia="Times New Roman" w:hAnsi="Times New Roman" w:cs="Times New Roman"/>
          <w:i/>
          <w:sz w:val="28"/>
          <w:szCs w:val="28"/>
          <w:lang w:eastAsia="it-IT"/>
        </w:rPr>
        <w:t xml:space="preserve"> e altri c. Italia</w:t>
      </w:r>
      <w:r w:rsidR="00802AE1" w:rsidRPr="00EC2C3F">
        <w:rPr>
          <w:rFonts w:ascii="Times New Roman" w:eastAsia="Times New Roman" w:hAnsi="Times New Roman" w:cs="Times New Roman"/>
          <w:sz w:val="28"/>
          <w:szCs w:val="28"/>
          <w:lang w:eastAsia="it-IT"/>
        </w:rPr>
        <w:t xml:space="preserve">), </w:t>
      </w:r>
      <w:r w:rsidR="00667BF4">
        <w:rPr>
          <w:rFonts w:ascii="Times New Roman" w:eastAsia="Times New Roman" w:hAnsi="Times New Roman" w:cs="Times New Roman"/>
          <w:sz w:val="28"/>
          <w:szCs w:val="28"/>
          <w:lang w:eastAsia="it-IT"/>
        </w:rPr>
        <w:t xml:space="preserve">con la quale </w:t>
      </w:r>
      <w:r w:rsidRPr="00EC2C3F">
        <w:rPr>
          <w:rFonts w:ascii="Times New Roman" w:eastAsia="Times New Roman" w:hAnsi="Times New Roman" w:cs="Times New Roman"/>
          <w:sz w:val="28"/>
          <w:szCs w:val="28"/>
          <w:lang w:eastAsia="it-IT"/>
        </w:rPr>
        <w:t xml:space="preserve">i giudici </w:t>
      </w:r>
      <w:r w:rsidR="00802AE1" w:rsidRPr="00EC2C3F">
        <w:rPr>
          <w:rFonts w:ascii="Times New Roman" w:eastAsia="Times New Roman" w:hAnsi="Times New Roman" w:cs="Times New Roman"/>
          <w:sz w:val="28"/>
          <w:szCs w:val="28"/>
          <w:lang w:eastAsia="it-IT"/>
        </w:rPr>
        <w:t xml:space="preserve">europei </w:t>
      </w:r>
      <w:r w:rsidR="00FC4E5F">
        <w:rPr>
          <w:rFonts w:ascii="Times New Roman" w:eastAsia="Times New Roman" w:hAnsi="Times New Roman" w:cs="Times New Roman"/>
          <w:sz w:val="28"/>
          <w:szCs w:val="28"/>
          <w:lang w:eastAsia="it-IT"/>
        </w:rPr>
        <w:t xml:space="preserve">hanno </w:t>
      </w:r>
      <w:r w:rsidR="00AC76F4" w:rsidRPr="00EC2C3F">
        <w:rPr>
          <w:rFonts w:ascii="Times New Roman" w:eastAsia="Times New Roman" w:hAnsi="Times New Roman" w:cs="Times New Roman"/>
          <w:iCs/>
          <w:sz w:val="28"/>
          <w:szCs w:val="28"/>
          <w:lang w:eastAsia="it-IT"/>
        </w:rPr>
        <w:t>accertat</w:t>
      </w:r>
      <w:r w:rsidR="00FC4E5F">
        <w:rPr>
          <w:rFonts w:ascii="Times New Roman" w:eastAsia="Times New Roman" w:hAnsi="Times New Roman" w:cs="Times New Roman"/>
          <w:iCs/>
          <w:sz w:val="28"/>
          <w:szCs w:val="28"/>
          <w:lang w:eastAsia="it-IT"/>
        </w:rPr>
        <w:t>o</w:t>
      </w:r>
      <w:r w:rsidR="00AC76F4" w:rsidRPr="00EC2C3F">
        <w:rPr>
          <w:rFonts w:ascii="Times New Roman" w:eastAsia="Times New Roman" w:hAnsi="Times New Roman" w:cs="Times New Roman"/>
          <w:iCs/>
          <w:sz w:val="28"/>
          <w:szCs w:val="28"/>
          <w:lang w:eastAsia="it-IT"/>
        </w:rPr>
        <w:t xml:space="preserve"> la lesione dell’art. 3 CEDU e condanna</w:t>
      </w:r>
      <w:r w:rsidR="00FC4E5F">
        <w:rPr>
          <w:rFonts w:ascii="Times New Roman" w:eastAsia="Times New Roman" w:hAnsi="Times New Roman" w:cs="Times New Roman"/>
          <w:iCs/>
          <w:sz w:val="28"/>
          <w:szCs w:val="28"/>
          <w:lang w:eastAsia="it-IT"/>
        </w:rPr>
        <w:t>t</w:t>
      </w:r>
      <w:r w:rsidR="00AC76F4" w:rsidRPr="00EC2C3F">
        <w:rPr>
          <w:rFonts w:ascii="Times New Roman" w:eastAsia="Times New Roman" w:hAnsi="Times New Roman" w:cs="Times New Roman"/>
          <w:iCs/>
          <w:sz w:val="28"/>
          <w:szCs w:val="28"/>
          <w:lang w:eastAsia="it-IT"/>
        </w:rPr>
        <w:t xml:space="preserve">o l’Italia ad una soddisfazione equitativa in favore dei ricorrenti proprio affermando che il governo italiano non avesse </w:t>
      </w:r>
      <w:r w:rsidRPr="00EC2C3F">
        <w:rPr>
          <w:rFonts w:ascii="Times New Roman" w:eastAsia="Times New Roman" w:hAnsi="Times New Roman" w:cs="Times New Roman"/>
          <w:sz w:val="28"/>
          <w:szCs w:val="28"/>
          <w:lang w:eastAsia="it-IT"/>
        </w:rPr>
        <w:t xml:space="preserve">assicurato neppure uno spazio minimo medio nelle celle di 3 mq, </w:t>
      </w:r>
      <w:r w:rsidR="00AC76F4" w:rsidRPr="00EC2C3F">
        <w:rPr>
          <w:rFonts w:ascii="Times New Roman" w:eastAsia="Times New Roman" w:hAnsi="Times New Roman" w:cs="Times New Roman"/>
          <w:sz w:val="28"/>
          <w:szCs w:val="28"/>
          <w:lang w:eastAsia="it-IT"/>
        </w:rPr>
        <w:t xml:space="preserve">(il principio era stato ribadito anche nell’analogo </w:t>
      </w:r>
      <w:proofErr w:type="spellStart"/>
      <w:r w:rsidR="00AC76F4" w:rsidRPr="00EC2C3F">
        <w:rPr>
          <w:rFonts w:ascii="Times New Roman" w:eastAsia="Times New Roman" w:hAnsi="Times New Roman" w:cs="Times New Roman"/>
          <w:i/>
          <w:sz w:val="28"/>
          <w:szCs w:val="28"/>
          <w:lang w:eastAsia="it-IT"/>
        </w:rPr>
        <w:t>pilot</w:t>
      </w:r>
      <w:proofErr w:type="spellEnd"/>
      <w:r w:rsidR="00AC76F4" w:rsidRPr="00EC2C3F">
        <w:rPr>
          <w:rFonts w:ascii="Times New Roman" w:eastAsia="Times New Roman" w:hAnsi="Times New Roman" w:cs="Times New Roman"/>
          <w:i/>
          <w:sz w:val="28"/>
          <w:szCs w:val="28"/>
          <w:lang w:eastAsia="it-IT"/>
        </w:rPr>
        <w:t xml:space="preserve"> </w:t>
      </w:r>
      <w:proofErr w:type="spellStart"/>
      <w:r w:rsidR="00AC76F4" w:rsidRPr="00EC2C3F">
        <w:rPr>
          <w:rFonts w:ascii="Times New Roman" w:eastAsia="Times New Roman" w:hAnsi="Times New Roman" w:cs="Times New Roman"/>
          <w:i/>
          <w:sz w:val="28"/>
          <w:szCs w:val="28"/>
          <w:lang w:eastAsia="it-IT"/>
        </w:rPr>
        <w:t>judgement</w:t>
      </w:r>
      <w:proofErr w:type="spellEnd"/>
      <w:r w:rsidR="00AC76F4" w:rsidRPr="00EC2C3F">
        <w:rPr>
          <w:rFonts w:ascii="Times New Roman" w:eastAsia="Times New Roman" w:hAnsi="Times New Roman" w:cs="Times New Roman"/>
          <w:i/>
          <w:sz w:val="28"/>
          <w:szCs w:val="28"/>
          <w:lang w:eastAsia="it-IT"/>
        </w:rPr>
        <w:t xml:space="preserve"> </w:t>
      </w:r>
      <w:r w:rsidR="00AC76F4" w:rsidRPr="00EC2C3F">
        <w:rPr>
          <w:rFonts w:ascii="Times New Roman" w:eastAsia="Times New Roman" w:hAnsi="Times New Roman" w:cs="Times New Roman"/>
          <w:sz w:val="28"/>
          <w:szCs w:val="28"/>
          <w:lang w:eastAsia="it-IT"/>
        </w:rPr>
        <w:t xml:space="preserve">nei confronti del Belgio: </w:t>
      </w:r>
      <w:proofErr w:type="spellStart"/>
      <w:r w:rsidR="00AC76F4" w:rsidRPr="00EC2C3F">
        <w:rPr>
          <w:rFonts w:ascii="Times New Roman" w:eastAsia="Times New Roman" w:hAnsi="Times New Roman" w:cs="Times New Roman"/>
          <w:sz w:val="28"/>
          <w:szCs w:val="28"/>
          <w:lang w:eastAsia="it-IT"/>
        </w:rPr>
        <w:t>sent</w:t>
      </w:r>
      <w:proofErr w:type="spellEnd"/>
      <w:r w:rsidR="00AC76F4" w:rsidRPr="00EC2C3F">
        <w:rPr>
          <w:rFonts w:ascii="Times New Roman" w:eastAsia="Times New Roman" w:hAnsi="Times New Roman" w:cs="Times New Roman"/>
          <w:sz w:val="28"/>
          <w:szCs w:val="28"/>
          <w:lang w:eastAsia="it-IT"/>
        </w:rPr>
        <w:t xml:space="preserve">. </w:t>
      </w:r>
      <w:hyperlink r:id="rId8" w:tgtFrame="_blank" w:history="1">
        <w:r w:rsidR="009B2191" w:rsidRPr="00EC2C3F">
          <w:rPr>
            <w:rStyle w:val="Collegamentoipertestuale"/>
            <w:rFonts w:ascii="Times New Roman" w:hAnsi="Times New Roman" w:cs="Times New Roman"/>
            <w:color w:val="auto"/>
            <w:sz w:val="28"/>
            <w:szCs w:val="28"/>
            <w:u w:val="none"/>
          </w:rPr>
          <w:t xml:space="preserve">25 novembre 2014, </w:t>
        </w:r>
        <w:proofErr w:type="spellStart"/>
        <w:r w:rsidR="009B2191" w:rsidRPr="00EC2C3F">
          <w:rPr>
            <w:rStyle w:val="Collegamentoipertestuale"/>
            <w:rFonts w:ascii="Times New Roman" w:hAnsi="Times New Roman" w:cs="Times New Roman"/>
            <w:i/>
            <w:color w:val="auto"/>
            <w:sz w:val="28"/>
            <w:szCs w:val="28"/>
            <w:u w:val="none"/>
          </w:rPr>
          <w:t>Vasilescu</w:t>
        </w:r>
        <w:proofErr w:type="spellEnd"/>
        <w:r w:rsidR="009B2191" w:rsidRPr="00EC2C3F">
          <w:rPr>
            <w:rStyle w:val="Collegamentoipertestuale"/>
            <w:rFonts w:ascii="Times New Roman" w:hAnsi="Times New Roman" w:cs="Times New Roman"/>
            <w:i/>
            <w:color w:val="auto"/>
            <w:sz w:val="28"/>
            <w:szCs w:val="28"/>
            <w:u w:val="none"/>
          </w:rPr>
          <w:t xml:space="preserve"> c. Belgio</w:t>
        </w:r>
      </w:hyperlink>
      <w:r w:rsidR="009B2191" w:rsidRPr="00EC2C3F">
        <w:rPr>
          <w:rFonts w:ascii="Times New Roman" w:eastAsia="Times New Roman" w:hAnsi="Times New Roman" w:cs="Times New Roman"/>
          <w:sz w:val="28"/>
          <w:szCs w:val="28"/>
          <w:lang w:eastAsia="it-IT"/>
        </w:rPr>
        <w:t xml:space="preserve">). </w:t>
      </w:r>
    </w:p>
    <w:p w:rsidR="00287A28" w:rsidRPr="0024196F" w:rsidRDefault="00287A28" w:rsidP="00287A28">
      <w:pPr>
        <w:tabs>
          <w:tab w:val="left" w:pos="993"/>
        </w:tabs>
        <w:spacing w:after="120" w:line="240" w:lineRule="auto"/>
        <w:ind w:left="284"/>
        <w:jc w:val="both"/>
        <w:rPr>
          <w:rFonts w:ascii="Times New Roman" w:hAnsi="Times New Roman" w:cs="Times New Roman"/>
          <w:sz w:val="28"/>
          <w:szCs w:val="24"/>
        </w:rPr>
      </w:pPr>
      <w:r>
        <w:rPr>
          <w:rFonts w:ascii="Times New Roman" w:hAnsi="Times New Roman"/>
          <w:sz w:val="28"/>
          <w:szCs w:val="28"/>
        </w:rPr>
        <w:t xml:space="preserve">Allineata su questa traiettoria interpretativa, </w:t>
      </w:r>
      <w:r w:rsidRPr="00EC2C3F">
        <w:rPr>
          <w:rFonts w:ascii="Times New Roman" w:hAnsi="Times New Roman"/>
          <w:sz w:val="28"/>
          <w:szCs w:val="28"/>
        </w:rPr>
        <w:t>la C</w:t>
      </w:r>
      <w:r>
        <w:rPr>
          <w:rFonts w:ascii="Times New Roman" w:hAnsi="Times New Roman"/>
          <w:sz w:val="28"/>
          <w:szCs w:val="28"/>
        </w:rPr>
        <w:t xml:space="preserve">orte europea </w:t>
      </w:r>
      <w:r w:rsidRPr="00EC2C3F">
        <w:rPr>
          <w:rFonts w:ascii="Times New Roman" w:hAnsi="Times New Roman"/>
          <w:sz w:val="28"/>
          <w:szCs w:val="28"/>
        </w:rPr>
        <w:t>ha</w:t>
      </w:r>
      <w:r>
        <w:rPr>
          <w:rFonts w:ascii="Times New Roman" w:hAnsi="Times New Roman"/>
          <w:sz w:val="28"/>
          <w:szCs w:val="28"/>
        </w:rPr>
        <w:t>, del resto,</w:t>
      </w:r>
      <w:r w:rsidRPr="00EC2C3F">
        <w:rPr>
          <w:rFonts w:ascii="Times New Roman" w:hAnsi="Times New Roman"/>
          <w:sz w:val="28"/>
          <w:szCs w:val="28"/>
        </w:rPr>
        <w:t xml:space="preserve"> ritenuto violato l’art. 3 CEDU, anche in presenza di spazi </w:t>
      </w:r>
      <w:r>
        <w:rPr>
          <w:rFonts w:ascii="Times New Roman" w:hAnsi="Times New Roman"/>
          <w:sz w:val="28"/>
          <w:szCs w:val="28"/>
        </w:rPr>
        <w:t xml:space="preserve">personali </w:t>
      </w:r>
      <w:r w:rsidRPr="00EC2C3F">
        <w:rPr>
          <w:rFonts w:ascii="Times New Roman" w:hAnsi="Times New Roman"/>
          <w:sz w:val="28"/>
          <w:szCs w:val="28"/>
        </w:rPr>
        <w:t xml:space="preserve">superiori ai 3 mq, in mancanza di ventilazione e di luce naturale (CEDU, </w:t>
      </w:r>
      <w:proofErr w:type="spellStart"/>
      <w:r w:rsidRPr="00EC2C3F">
        <w:rPr>
          <w:rFonts w:ascii="Times New Roman" w:hAnsi="Times New Roman"/>
          <w:sz w:val="28"/>
          <w:szCs w:val="28"/>
        </w:rPr>
        <w:t>sent</w:t>
      </w:r>
      <w:proofErr w:type="spellEnd"/>
      <w:r w:rsidRPr="00EC2C3F">
        <w:rPr>
          <w:rFonts w:ascii="Times New Roman" w:hAnsi="Times New Roman"/>
          <w:sz w:val="28"/>
          <w:szCs w:val="28"/>
        </w:rPr>
        <w:t xml:space="preserve">. 9 ottobre 2008, </w:t>
      </w:r>
      <w:proofErr w:type="spellStart"/>
      <w:r w:rsidRPr="00EC2C3F">
        <w:rPr>
          <w:rFonts w:ascii="Times New Roman" w:hAnsi="Times New Roman"/>
          <w:i/>
          <w:sz w:val="28"/>
          <w:szCs w:val="28"/>
        </w:rPr>
        <w:t>Moisseiev</w:t>
      </w:r>
      <w:proofErr w:type="spellEnd"/>
      <w:r w:rsidRPr="00EC2C3F">
        <w:rPr>
          <w:rFonts w:ascii="Times New Roman" w:hAnsi="Times New Roman"/>
          <w:i/>
          <w:sz w:val="28"/>
          <w:szCs w:val="28"/>
        </w:rPr>
        <w:t xml:space="preserve"> c. Russia</w:t>
      </w:r>
      <w:r w:rsidRPr="00EC2C3F">
        <w:rPr>
          <w:rFonts w:ascii="Times New Roman" w:hAnsi="Times New Roman"/>
          <w:sz w:val="28"/>
          <w:szCs w:val="28"/>
        </w:rPr>
        <w:t xml:space="preserve">) </w:t>
      </w:r>
      <w:r>
        <w:rPr>
          <w:rFonts w:ascii="Times New Roman" w:hAnsi="Times New Roman"/>
          <w:sz w:val="28"/>
          <w:szCs w:val="28"/>
        </w:rPr>
        <w:t xml:space="preserve">o </w:t>
      </w:r>
      <w:r w:rsidRPr="00EC2C3F">
        <w:rPr>
          <w:rFonts w:ascii="Times New Roman" w:hAnsi="Times New Roman"/>
          <w:sz w:val="28"/>
          <w:szCs w:val="28"/>
        </w:rPr>
        <w:t xml:space="preserve">qualora il detenuto avesse una limitata possibilità di </w:t>
      </w:r>
      <w:r w:rsidRPr="00EC2C3F">
        <w:rPr>
          <w:rFonts w:ascii="Times New Roman" w:hAnsi="Times New Roman"/>
          <w:sz w:val="28"/>
          <w:szCs w:val="28"/>
        </w:rPr>
        <w:lastRenderedPageBreak/>
        <w:t xml:space="preserve">permanenza all’aria aperta (CEDU, </w:t>
      </w:r>
      <w:proofErr w:type="spellStart"/>
      <w:r w:rsidRPr="00EC2C3F">
        <w:rPr>
          <w:rFonts w:ascii="Times New Roman" w:hAnsi="Times New Roman"/>
          <w:sz w:val="28"/>
          <w:szCs w:val="28"/>
        </w:rPr>
        <w:t>sent</w:t>
      </w:r>
      <w:proofErr w:type="spellEnd"/>
      <w:r w:rsidRPr="00EC2C3F">
        <w:rPr>
          <w:rFonts w:ascii="Times New Roman" w:hAnsi="Times New Roman"/>
          <w:sz w:val="28"/>
          <w:szCs w:val="28"/>
        </w:rPr>
        <w:t xml:space="preserve">. 17 gennaio 2012, </w:t>
      </w:r>
      <w:proofErr w:type="spellStart"/>
      <w:r w:rsidRPr="00EC2C3F">
        <w:rPr>
          <w:rFonts w:ascii="Times New Roman" w:hAnsi="Times New Roman"/>
          <w:i/>
          <w:sz w:val="28"/>
          <w:szCs w:val="28"/>
        </w:rPr>
        <w:t>Istvàn</w:t>
      </w:r>
      <w:proofErr w:type="spellEnd"/>
      <w:r w:rsidRPr="00EC2C3F">
        <w:rPr>
          <w:rFonts w:ascii="Times New Roman" w:hAnsi="Times New Roman"/>
          <w:i/>
          <w:sz w:val="28"/>
          <w:szCs w:val="28"/>
        </w:rPr>
        <w:t xml:space="preserve"> </w:t>
      </w:r>
      <w:proofErr w:type="spellStart"/>
      <w:r w:rsidRPr="00EC2C3F">
        <w:rPr>
          <w:rFonts w:ascii="Times New Roman" w:hAnsi="Times New Roman"/>
          <w:i/>
          <w:sz w:val="28"/>
          <w:szCs w:val="28"/>
        </w:rPr>
        <w:t>Gàbor</w:t>
      </w:r>
      <w:proofErr w:type="spellEnd"/>
      <w:r w:rsidRPr="00EC2C3F">
        <w:rPr>
          <w:rFonts w:ascii="Times New Roman" w:hAnsi="Times New Roman"/>
          <w:i/>
          <w:sz w:val="28"/>
          <w:szCs w:val="28"/>
        </w:rPr>
        <w:t xml:space="preserve"> </w:t>
      </w:r>
      <w:proofErr w:type="spellStart"/>
      <w:r w:rsidRPr="00EC2C3F">
        <w:rPr>
          <w:rFonts w:ascii="Times New Roman" w:hAnsi="Times New Roman"/>
          <w:i/>
          <w:sz w:val="28"/>
          <w:szCs w:val="28"/>
        </w:rPr>
        <w:t>Kovàcs</w:t>
      </w:r>
      <w:proofErr w:type="spellEnd"/>
      <w:r w:rsidRPr="00EC2C3F">
        <w:rPr>
          <w:rFonts w:ascii="Times New Roman" w:hAnsi="Times New Roman"/>
          <w:i/>
          <w:sz w:val="28"/>
          <w:szCs w:val="28"/>
        </w:rPr>
        <w:t xml:space="preserve"> c. Ungheria</w:t>
      </w:r>
      <w:r w:rsidRPr="00EC2C3F">
        <w:rPr>
          <w:rFonts w:ascii="Times New Roman" w:hAnsi="Times New Roman"/>
          <w:sz w:val="28"/>
          <w:szCs w:val="28"/>
        </w:rPr>
        <w:t xml:space="preserve">), ovvero in presenza di </w:t>
      </w:r>
      <w:r w:rsidRPr="00EC2C3F">
        <w:rPr>
          <w:rFonts w:ascii="Times New Roman" w:eastAsia="Times New Roman" w:hAnsi="Times New Roman" w:cs="Times New Roman"/>
          <w:bCs/>
          <w:sz w:val="28"/>
          <w:szCs w:val="28"/>
          <w:lang w:eastAsia="it-IT"/>
        </w:rPr>
        <w:t xml:space="preserve">altri elementi di criticità quali </w:t>
      </w:r>
      <w:r w:rsidRPr="00EC2C3F">
        <w:rPr>
          <w:rFonts w:ascii="Times New Roman" w:eastAsia="Times New Roman" w:hAnsi="Times New Roman" w:cs="Times New Roman"/>
          <w:sz w:val="28"/>
          <w:szCs w:val="28"/>
          <w:lang w:eastAsia="it-IT"/>
        </w:rPr>
        <w:t>le condizioni igieniche carenti, il rischio di propagazione di malattie, l’assenza di acqua potabile o corrente, l’assenza di riservatezza nell’utilizzo dei servi</w:t>
      </w:r>
      <w:r>
        <w:rPr>
          <w:rFonts w:ascii="Times New Roman" w:eastAsia="Times New Roman" w:hAnsi="Times New Roman" w:cs="Times New Roman"/>
          <w:sz w:val="28"/>
          <w:szCs w:val="28"/>
          <w:lang w:eastAsia="it-IT"/>
        </w:rPr>
        <w:t>zi igienici</w:t>
      </w:r>
      <w:r w:rsidRPr="00EC2C3F">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 xml:space="preserve"> Decisivi ai fini dell’accertamento sulla violazione del divieto di trattamenti inumani e degradanti sono stati, inoltre, ritenuti alcuni parametri di natura soggettiva (puntualmente richiamati dalla decisione in commento), quali </w:t>
      </w:r>
      <w:r w:rsidRPr="0024196F">
        <w:rPr>
          <w:rFonts w:ascii="Times New Roman" w:hAnsi="Times New Roman" w:cs="Times New Roman"/>
          <w:sz w:val="28"/>
          <w:szCs w:val="24"/>
        </w:rPr>
        <w:t xml:space="preserve">la durata del </w:t>
      </w:r>
      <w:r>
        <w:rPr>
          <w:rFonts w:ascii="Times New Roman" w:hAnsi="Times New Roman" w:cs="Times New Roman"/>
          <w:sz w:val="28"/>
          <w:szCs w:val="24"/>
        </w:rPr>
        <w:t>mal-</w:t>
      </w:r>
      <w:r w:rsidRPr="0024196F">
        <w:rPr>
          <w:rFonts w:ascii="Times New Roman" w:hAnsi="Times New Roman" w:cs="Times New Roman"/>
          <w:sz w:val="28"/>
          <w:szCs w:val="24"/>
        </w:rPr>
        <w:t>trattamento</w:t>
      </w:r>
      <w:r>
        <w:rPr>
          <w:rFonts w:ascii="Times New Roman" w:hAnsi="Times New Roman" w:cs="Times New Roman"/>
          <w:sz w:val="28"/>
          <w:szCs w:val="24"/>
        </w:rPr>
        <w:t xml:space="preserve"> (</w:t>
      </w:r>
      <w:proofErr w:type="spellStart"/>
      <w:r>
        <w:rPr>
          <w:rFonts w:ascii="Times New Roman" w:hAnsi="Times New Roman" w:cs="Times New Roman"/>
          <w:sz w:val="28"/>
          <w:szCs w:val="24"/>
        </w:rPr>
        <w:t>sent</w:t>
      </w:r>
      <w:proofErr w:type="spellEnd"/>
      <w:r>
        <w:rPr>
          <w:rFonts w:ascii="Times New Roman" w:hAnsi="Times New Roman" w:cs="Times New Roman"/>
          <w:sz w:val="28"/>
          <w:szCs w:val="24"/>
        </w:rPr>
        <w:t xml:space="preserve">. 8 novembre 2005, </w:t>
      </w:r>
      <w:proofErr w:type="spellStart"/>
      <w:r w:rsidRPr="00094990">
        <w:rPr>
          <w:rFonts w:ascii="Times New Roman" w:hAnsi="Times New Roman" w:cs="Times New Roman"/>
          <w:i/>
          <w:sz w:val="28"/>
          <w:szCs w:val="24"/>
        </w:rPr>
        <w:t>Alver</w:t>
      </w:r>
      <w:proofErr w:type="spellEnd"/>
      <w:r w:rsidRPr="00094990">
        <w:rPr>
          <w:rFonts w:ascii="Times New Roman" w:hAnsi="Times New Roman" w:cs="Times New Roman"/>
          <w:i/>
          <w:sz w:val="28"/>
          <w:szCs w:val="24"/>
        </w:rPr>
        <w:t xml:space="preserve"> c. Estonia</w:t>
      </w:r>
      <w:r w:rsidRPr="0024196F">
        <w:rPr>
          <w:rFonts w:ascii="Times New Roman" w:hAnsi="Times New Roman" w:cs="Times New Roman"/>
          <w:sz w:val="28"/>
          <w:szCs w:val="24"/>
        </w:rPr>
        <w:t>), gli effetti fisici e mentali di questo e, in alcuni casi, il sesso, l’età e lo stato di salute della vittima (</w:t>
      </w:r>
      <w:proofErr w:type="spellStart"/>
      <w:r>
        <w:rPr>
          <w:rFonts w:ascii="Times New Roman" w:hAnsi="Times New Roman" w:cs="Times New Roman"/>
          <w:sz w:val="28"/>
          <w:szCs w:val="24"/>
        </w:rPr>
        <w:t>sent</w:t>
      </w:r>
      <w:proofErr w:type="spellEnd"/>
      <w:r>
        <w:rPr>
          <w:rFonts w:ascii="Times New Roman" w:hAnsi="Times New Roman" w:cs="Times New Roman"/>
          <w:sz w:val="28"/>
          <w:szCs w:val="24"/>
        </w:rPr>
        <w:t xml:space="preserve">. 18 gennaio 1978, </w:t>
      </w:r>
      <w:r w:rsidRPr="00094990">
        <w:rPr>
          <w:rFonts w:ascii="Times New Roman" w:hAnsi="Times New Roman" w:cs="Times New Roman"/>
          <w:i/>
          <w:sz w:val="28"/>
          <w:szCs w:val="24"/>
        </w:rPr>
        <w:t>Irlanda c. Regno Unito</w:t>
      </w:r>
      <w:r w:rsidRPr="0024196F">
        <w:rPr>
          <w:rFonts w:ascii="Times New Roman" w:hAnsi="Times New Roman" w:cs="Times New Roman"/>
          <w:sz w:val="28"/>
          <w:szCs w:val="24"/>
        </w:rPr>
        <w:t xml:space="preserve">, e </w:t>
      </w:r>
      <w:proofErr w:type="spellStart"/>
      <w:r>
        <w:rPr>
          <w:rFonts w:ascii="Times New Roman" w:hAnsi="Times New Roman" w:cs="Times New Roman"/>
          <w:sz w:val="28"/>
          <w:szCs w:val="24"/>
        </w:rPr>
        <w:t>sent</w:t>
      </w:r>
      <w:proofErr w:type="spellEnd"/>
      <w:r>
        <w:rPr>
          <w:rFonts w:ascii="Times New Roman" w:hAnsi="Times New Roman" w:cs="Times New Roman"/>
          <w:sz w:val="28"/>
          <w:szCs w:val="24"/>
        </w:rPr>
        <w:t xml:space="preserve">. 22 ottobre 2009, </w:t>
      </w:r>
      <w:proofErr w:type="spellStart"/>
      <w:r w:rsidRPr="00094990">
        <w:rPr>
          <w:rFonts w:ascii="Times New Roman" w:hAnsi="Times New Roman" w:cs="Times New Roman"/>
          <w:i/>
          <w:sz w:val="28"/>
          <w:szCs w:val="24"/>
        </w:rPr>
        <w:t>Orchowski</w:t>
      </w:r>
      <w:proofErr w:type="spellEnd"/>
      <w:r w:rsidRPr="00094990">
        <w:rPr>
          <w:rFonts w:ascii="Times New Roman" w:hAnsi="Times New Roman" w:cs="Times New Roman"/>
          <w:i/>
          <w:sz w:val="28"/>
          <w:szCs w:val="24"/>
        </w:rPr>
        <w:t xml:space="preserve"> c. Polonia</w:t>
      </w:r>
      <w:r>
        <w:rPr>
          <w:rFonts w:ascii="Times New Roman" w:hAnsi="Times New Roman" w:cs="Times New Roman"/>
          <w:i/>
          <w:sz w:val="28"/>
          <w:szCs w:val="24"/>
        </w:rPr>
        <w:t>)</w:t>
      </w:r>
      <w:r w:rsidRPr="0024196F">
        <w:rPr>
          <w:rFonts w:ascii="Times New Roman" w:hAnsi="Times New Roman" w:cs="Times New Roman"/>
          <w:sz w:val="28"/>
          <w:szCs w:val="24"/>
        </w:rPr>
        <w:t>.</w:t>
      </w:r>
    </w:p>
    <w:p w:rsidR="00287A28" w:rsidRDefault="00287A28" w:rsidP="007548D5">
      <w:pPr>
        <w:tabs>
          <w:tab w:val="left" w:pos="993"/>
        </w:tabs>
        <w:spacing w:after="120" w:line="240" w:lineRule="auto"/>
        <w:ind w:left="284"/>
        <w:jc w:val="both"/>
        <w:rPr>
          <w:rFonts w:ascii="Times New Roman" w:eastAsia="Times New Roman" w:hAnsi="Times New Roman" w:cs="Times New Roman"/>
          <w:sz w:val="28"/>
          <w:szCs w:val="28"/>
          <w:lang w:eastAsia="it-IT"/>
        </w:rPr>
      </w:pPr>
    </w:p>
    <w:p w:rsidR="00287A28" w:rsidRDefault="00287A28" w:rsidP="007548D5">
      <w:pPr>
        <w:tabs>
          <w:tab w:val="left" w:pos="993"/>
        </w:tabs>
        <w:spacing w:after="120" w:line="240" w:lineRule="auto"/>
        <w:ind w:left="284"/>
        <w:jc w:val="both"/>
        <w:rPr>
          <w:rFonts w:ascii="Times New Roman" w:hAnsi="Times New Roman" w:cs="Times New Roman"/>
          <w:i/>
          <w:sz w:val="28"/>
          <w:szCs w:val="24"/>
        </w:rPr>
      </w:pPr>
      <w:r>
        <w:rPr>
          <w:rFonts w:ascii="Times New Roman" w:eastAsia="Times New Roman" w:hAnsi="Times New Roman" w:cs="Times New Roman"/>
          <w:sz w:val="28"/>
          <w:szCs w:val="28"/>
          <w:lang w:eastAsia="it-IT"/>
        </w:rPr>
        <w:t xml:space="preserve">Alla luce di coordinate giurisprudenziali che sembravano sufficientemente assestate, e – nella realtà italiana - anche </w:t>
      </w:r>
      <w:r w:rsidR="00AA108F">
        <w:rPr>
          <w:rFonts w:ascii="Times New Roman" w:eastAsia="Times New Roman" w:hAnsi="Times New Roman" w:cs="Times New Roman"/>
          <w:sz w:val="28"/>
          <w:szCs w:val="28"/>
          <w:lang w:eastAsia="it-IT"/>
        </w:rPr>
        <w:t>in seguito al fondamentale arresto</w:t>
      </w:r>
      <w:r>
        <w:rPr>
          <w:rFonts w:ascii="Times New Roman" w:eastAsia="Times New Roman" w:hAnsi="Times New Roman" w:cs="Times New Roman"/>
          <w:sz w:val="28"/>
          <w:szCs w:val="28"/>
          <w:lang w:eastAsia="it-IT"/>
        </w:rPr>
        <w:t xml:space="preserve"> </w:t>
      </w:r>
      <w:proofErr w:type="spellStart"/>
      <w:r>
        <w:rPr>
          <w:rFonts w:ascii="Times New Roman" w:eastAsia="Times New Roman" w:hAnsi="Times New Roman" w:cs="Times New Roman"/>
          <w:sz w:val="28"/>
          <w:szCs w:val="28"/>
          <w:lang w:eastAsia="it-IT"/>
        </w:rPr>
        <w:t>Torreggiani</w:t>
      </w:r>
      <w:proofErr w:type="spellEnd"/>
      <w:r w:rsidR="00AA108F">
        <w:rPr>
          <w:rFonts w:ascii="Times New Roman" w:eastAsia="Times New Roman" w:hAnsi="Times New Roman" w:cs="Times New Roman"/>
          <w:sz w:val="28"/>
          <w:szCs w:val="28"/>
          <w:lang w:eastAsia="it-IT"/>
        </w:rPr>
        <w:t xml:space="preserve">, si era </w:t>
      </w:r>
      <w:r>
        <w:rPr>
          <w:rFonts w:ascii="Times New Roman" w:eastAsia="Times New Roman" w:hAnsi="Times New Roman" w:cs="Times New Roman"/>
          <w:sz w:val="28"/>
          <w:szCs w:val="28"/>
          <w:lang w:eastAsia="it-IT"/>
        </w:rPr>
        <w:t xml:space="preserve">quindi </w:t>
      </w:r>
      <w:r w:rsidR="00AA108F">
        <w:rPr>
          <w:rFonts w:ascii="Times New Roman" w:eastAsia="Times New Roman" w:hAnsi="Times New Roman" w:cs="Times New Roman"/>
          <w:sz w:val="28"/>
          <w:szCs w:val="28"/>
          <w:lang w:eastAsia="it-IT"/>
        </w:rPr>
        <w:t xml:space="preserve">rafforzata la convinzione </w:t>
      </w:r>
      <w:r w:rsidR="009B2191" w:rsidRPr="00EC2C3F">
        <w:rPr>
          <w:rFonts w:ascii="Times New Roman" w:eastAsia="Times New Roman" w:hAnsi="Times New Roman" w:cs="Times New Roman"/>
          <w:sz w:val="28"/>
          <w:szCs w:val="28"/>
          <w:lang w:eastAsia="it-IT"/>
        </w:rPr>
        <w:t xml:space="preserve">che il criterio </w:t>
      </w:r>
      <w:r w:rsidR="009B2191" w:rsidRPr="00EC2C3F">
        <w:rPr>
          <w:rFonts w:ascii="Times New Roman" w:hAnsi="Times New Roman"/>
          <w:sz w:val="28"/>
          <w:szCs w:val="28"/>
        </w:rPr>
        <w:t xml:space="preserve">“spaziale” </w:t>
      </w:r>
      <w:r w:rsidR="00AA108F">
        <w:rPr>
          <w:rFonts w:ascii="Times New Roman" w:hAnsi="Times New Roman"/>
          <w:sz w:val="28"/>
          <w:szCs w:val="28"/>
        </w:rPr>
        <w:t xml:space="preserve">potesse </w:t>
      </w:r>
      <w:r w:rsidR="009B2191" w:rsidRPr="00EC2C3F">
        <w:rPr>
          <w:rFonts w:ascii="Times New Roman" w:hAnsi="Times New Roman"/>
          <w:sz w:val="28"/>
          <w:szCs w:val="28"/>
        </w:rPr>
        <w:t xml:space="preserve">da solo essere sufficiente a </w:t>
      </w:r>
      <w:r w:rsidR="00FC4E5F">
        <w:rPr>
          <w:rFonts w:ascii="Times New Roman" w:hAnsi="Times New Roman"/>
          <w:sz w:val="28"/>
          <w:szCs w:val="28"/>
        </w:rPr>
        <w:t xml:space="preserve">integrare </w:t>
      </w:r>
      <w:r w:rsidR="009B2191" w:rsidRPr="00EC2C3F">
        <w:rPr>
          <w:rFonts w:ascii="Times New Roman" w:hAnsi="Times New Roman"/>
          <w:sz w:val="28"/>
          <w:szCs w:val="28"/>
        </w:rPr>
        <w:t>la violazione comunitaria in presenza di spazi vivibili inferiori ai 3 mq</w:t>
      </w:r>
      <w:r w:rsidR="00AA108F">
        <w:rPr>
          <w:rFonts w:ascii="Times New Roman" w:hAnsi="Times New Roman"/>
          <w:sz w:val="28"/>
          <w:szCs w:val="28"/>
        </w:rPr>
        <w:t>,</w:t>
      </w:r>
      <w:r w:rsidR="007548D5">
        <w:rPr>
          <w:rFonts w:ascii="Times New Roman" w:hAnsi="Times New Roman"/>
          <w:sz w:val="28"/>
          <w:szCs w:val="28"/>
        </w:rPr>
        <w:t xml:space="preserve"> assume</w:t>
      </w:r>
      <w:r w:rsidR="00667BF4">
        <w:rPr>
          <w:rFonts w:ascii="Times New Roman" w:hAnsi="Times New Roman"/>
          <w:sz w:val="28"/>
          <w:szCs w:val="28"/>
        </w:rPr>
        <w:t>ndo</w:t>
      </w:r>
      <w:r w:rsidR="009B2191" w:rsidRPr="00EC2C3F">
        <w:rPr>
          <w:rFonts w:ascii="Times New Roman" w:hAnsi="Times New Roman"/>
          <w:sz w:val="28"/>
          <w:szCs w:val="28"/>
        </w:rPr>
        <w:t xml:space="preserve"> che, nei casi di spazi detentivi posti tra la detta soglia minima e i 4 mq (cioè la superficie auspicata dal CPT), </w:t>
      </w:r>
      <w:r w:rsidR="00AA108F">
        <w:rPr>
          <w:rFonts w:ascii="Times New Roman" w:hAnsi="Times New Roman"/>
          <w:sz w:val="28"/>
          <w:szCs w:val="28"/>
        </w:rPr>
        <w:t>fosse</w:t>
      </w:r>
      <w:r w:rsidR="009B2191" w:rsidRPr="00EC2C3F">
        <w:rPr>
          <w:rFonts w:ascii="Times New Roman" w:hAnsi="Times New Roman"/>
          <w:sz w:val="28"/>
          <w:szCs w:val="28"/>
        </w:rPr>
        <w:t xml:space="preserve"> </w:t>
      </w:r>
      <w:r w:rsidR="00B468CC">
        <w:rPr>
          <w:rFonts w:ascii="Times New Roman" w:hAnsi="Times New Roman"/>
          <w:sz w:val="28"/>
          <w:szCs w:val="28"/>
        </w:rPr>
        <w:t xml:space="preserve">invece </w:t>
      </w:r>
      <w:r w:rsidR="009B2191" w:rsidRPr="00EC2C3F">
        <w:rPr>
          <w:rFonts w:ascii="Times New Roman" w:hAnsi="Times New Roman"/>
          <w:sz w:val="28"/>
          <w:szCs w:val="28"/>
        </w:rPr>
        <w:t xml:space="preserve">necessaria una ponderazione tra il dato </w:t>
      </w:r>
      <w:r w:rsidR="007548D5">
        <w:rPr>
          <w:rFonts w:ascii="Times New Roman" w:hAnsi="Times New Roman"/>
          <w:sz w:val="28"/>
          <w:szCs w:val="28"/>
        </w:rPr>
        <w:t xml:space="preserve">“spaziale” </w:t>
      </w:r>
      <w:r w:rsidR="009B2191" w:rsidRPr="00EC2C3F">
        <w:rPr>
          <w:rFonts w:ascii="Times New Roman" w:hAnsi="Times New Roman"/>
          <w:sz w:val="28"/>
          <w:szCs w:val="28"/>
        </w:rPr>
        <w:t>e il complesso delle altre condizioni di detenzione in concreto praticate nei confronti del detenuto</w:t>
      </w:r>
      <w:r w:rsidR="007548D5">
        <w:rPr>
          <w:rFonts w:ascii="Times New Roman" w:hAnsi="Times New Roman"/>
          <w:sz w:val="28"/>
          <w:szCs w:val="28"/>
        </w:rPr>
        <w:t xml:space="preserve">, così da verificare se </w:t>
      </w:r>
      <w:r w:rsidR="00484AB4">
        <w:rPr>
          <w:rFonts w:ascii="Times New Roman" w:hAnsi="Times New Roman"/>
          <w:sz w:val="28"/>
          <w:szCs w:val="28"/>
        </w:rPr>
        <w:t xml:space="preserve">da </w:t>
      </w:r>
      <w:r w:rsidR="007548D5">
        <w:rPr>
          <w:rFonts w:ascii="Times New Roman" w:hAnsi="Times New Roman"/>
          <w:sz w:val="28"/>
          <w:szCs w:val="28"/>
        </w:rPr>
        <w:t xml:space="preserve">esse </w:t>
      </w:r>
      <w:r w:rsidR="00484AB4">
        <w:rPr>
          <w:rFonts w:ascii="Times New Roman" w:hAnsi="Times New Roman"/>
          <w:sz w:val="28"/>
          <w:szCs w:val="28"/>
        </w:rPr>
        <w:t xml:space="preserve">sia derivata </w:t>
      </w:r>
      <w:r w:rsidR="007548D5">
        <w:rPr>
          <w:rFonts w:ascii="Times New Roman" w:hAnsi="Times New Roman"/>
          <w:sz w:val="28"/>
          <w:szCs w:val="28"/>
        </w:rPr>
        <w:t xml:space="preserve">una sofferenza psicologica </w:t>
      </w:r>
      <w:r>
        <w:rPr>
          <w:rFonts w:ascii="Times New Roman" w:hAnsi="Times New Roman"/>
          <w:sz w:val="28"/>
          <w:szCs w:val="28"/>
        </w:rPr>
        <w:t xml:space="preserve">aggiuntiva a </w:t>
      </w:r>
      <w:r w:rsidR="00CB43D3">
        <w:rPr>
          <w:rFonts w:ascii="Times New Roman" w:hAnsi="Times New Roman"/>
          <w:sz w:val="28"/>
          <w:szCs w:val="28"/>
        </w:rPr>
        <w:t>quella</w:t>
      </w:r>
      <w:r>
        <w:rPr>
          <w:rFonts w:ascii="Times New Roman" w:hAnsi="Times New Roman"/>
          <w:sz w:val="28"/>
          <w:szCs w:val="28"/>
        </w:rPr>
        <w:t>,</w:t>
      </w:r>
      <w:r w:rsidR="00CB43D3">
        <w:rPr>
          <w:rFonts w:ascii="Times New Roman" w:hAnsi="Times New Roman"/>
          <w:sz w:val="28"/>
          <w:szCs w:val="28"/>
        </w:rPr>
        <w:t xml:space="preserve"> inevitabile</w:t>
      </w:r>
      <w:r>
        <w:rPr>
          <w:rFonts w:ascii="Times New Roman" w:hAnsi="Times New Roman"/>
          <w:sz w:val="28"/>
          <w:szCs w:val="28"/>
        </w:rPr>
        <w:t>,</w:t>
      </w:r>
      <w:r w:rsidR="00CB43D3">
        <w:rPr>
          <w:rFonts w:ascii="Times New Roman" w:hAnsi="Times New Roman"/>
          <w:sz w:val="28"/>
          <w:szCs w:val="28"/>
        </w:rPr>
        <w:t xml:space="preserve"> insit</w:t>
      </w:r>
      <w:r>
        <w:rPr>
          <w:rFonts w:ascii="Times New Roman" w:hAnsi="Times New Roman"/>
          <w:sz w:val="28"/>
          <w:szCs w:val="28"/>
        </w:rPr>
        <w:t>a</w:t>
      </w:r>
      <w:r w:rsidR="00CB43D3">
        <w:rPr>
          <w:rFonts w:ascii="Times New Roman" w:hAnsi="Times New Roman"/>
          <w:sz w:val="28"/>
          <w:szCs w:val="28"/>
        </w:rPr>
        <w:t xml:space="preserve"> nella condizione detentiva </w:t>
      </w:r>
      <w:r w:rsidR="00CB43D3" w:rsidRPr="0024196F">
        <w:rPr>
          <w:rFonts w:ascii="Times New Roman" w:hAnsi="Times New Roman" w:cs="Times New Roman"/>
          <w:sz w:val="28"/>
          <w:szCs w:val="24"/>
        </w:rPr>
        <w:t>(</w:t>
      </w:r>
      <w:r w:rsidR="00FC4E5F">
        <w:rPr>
          <w:rFonts w:ascii="Times New Roman" w:hAnsi="Times New Roman" w:cs="Times New Roman"/>
          <w:sz w:val="28"/>
          <w:szCs w:val="24"/>
        </w:rPr>
        <w:t>negli stessi termini anche s</w:t>
      </w:r>
      <w:r w:rsidR="00CB43D3">
        <w:rPr>
          <w:rFonts w:ascii="Times New Roman" w:hAnsi="Times New Roman" w:cs="Times New Roman"/>
          <w:sz w:val="28"/>
          <w:szCs w:val="24"/>
        </w:rPr>
        <w:t xml:space="preserve">ent.13 luglio 2006, </w:t>
      </w:r>
      <w:r w:rsidR="00CB43D3" w:rsidRPr="0024196F">
        <w:rPr>
          <w:rFonts w:ascii="Times New Roman" w:hAnsi="Times New Roman" w:cs="Times New Roman"/>
          <w:i/>
          <w:sz w:val="28"/>
          <w:szCs w:val="24"/>
        </w:rPr>
        <w:t>Popov c. Russia</w:t>
      </w:r>
      <w:r w:rsidR="00CB43D3">
        <w:rPr>
          <w:rFonts w:ascii="Times New Roman" w:hAnsi="Times New Roman" w:cs="Times New Roman"/>
          <w:i/>
          <w:sz w:val="28"/>
          <w:szCs w:val="24"/>
        </w:rPr>
        <w:t>).</w:t>
      </w:r>
    </w:p>
    <w:p w:rsidR="0017635F" w:rsidRPr="0024196F" w:rsidRDefault="00890332" w:rsidP="00CB43D3">
      <w:pPr>
        <w:tabs>
          <w:tab w:val="left" w:pos="993"/>
        </w:tabs>
        <w:spacing w:after="120" w:line="240" w:lineRule="auto"/>
        <w:ind w:left="284"/>
        <w:jc w:val="both"/>
        <w:rPr>
          <w:rFonts w:ascii="Times New Roman" w:hAnsi="Times New Roman" w:cs="Times New Roman"/>
          <w:sz w:val="28"/>
          <w:szCs w:val="24"/>
        </w:rPr>
      </w:pPr>
      <w:r>
        <w:rPr>
          <w:rFonts w:ascii="Times New Roman" w:hAnsi="Times New Roman" w:cs="Times New Roman"/>
          <w:sz w:val="28"/>
          <w:szCs w:val="24"/>
        </w:rPr>
        <w:t xml:space="preserve">Il </w:t>
      </w:r>
      <w:r w:rsidR="00CB43D3">
        <w:rPr>
          <w:rFonts w:ascii="Times New Roman" w:hAnsi="Times New Roman" w:cs="Times New Roman"/>
          <w:sz w:val="28"/>
          <w:szCs w:val="24"/>
        </w:rPr>
        <w:t xml:space="preserve">complessivo quadro </w:t>
      </w:r>
      <w:r>
        <w:rPr>
          <w:rFonts w:ascii="Times New Roman" w:hAnsi="Times New Roman" w:cs="Times New Roman"/>
          <w:sz w:val="28"/>
          <w:szCs w:val="24"/>
        </w:rPr>
        <w:t xml:space="preserve">nei termini sinteticamente tratteggiati </w:t>
      </w:r>
      <w:r w:rsidR="00CB43D3">
        <w:rPr>
          <w:rFonts w:ascii="Times New Roman" w:hAnsi="Times New Roman" w:cs="Times New Roman"/>
          <w:sz w:val="28"/>
          <w:szCs w:val="24"/>
        </w:rPr>
        <w:t xml:space="preserve">sembra </w:t>
      </w:r>
      <w:r>
        <w:rPr>
          <w:rFonts w:ascii="Times New Roman" w:hAnsi="Times New Roman" w:cs="Times New Roman"/>
          <w:sz w:val="28"/>
          <w:szCs w:val="24"/>
        </w:rPr>
        <w:t xml:space="preserve">ora </w:t>
      </w:r>
      <w:r w:rsidR="00CB43D3">
        <w:rPr>
          <w:rFonts w:ascii="Times New Roman" w:hAnsi="Times New Roman" w:cs="Times New Roman"/>
          <w:sz w:val="28"/>
          <w:szCs w:val="24"/>
        </w:rPr>
        <w:t>rimesso in discussione dalla sentenza in commento</w:t>
      </w:r>
      <w:r w:rsidR="007D358B">
        <w:rPr>
          <w:rFonts w:ascii="Times New Roman" w:hAnsi="Times New Roman" w:cs="Times New Roman"/>
          <w:sz w:val="28"/>
          <w:szCs w:val="24"/>
        </w:rPr>
        <w:t>,</w:t>
      </w:r>
      <w:r w:rsidR="007548D5">
        <w:rPr>
          <w:rFonts w:ascii="Times New Roman" w:hAnsi="Times New Roman" w:cs="Times New Roman"/>
          <w:sz w:val="28"/>
          <w:szCs w:val="24"/>
        </w:rPr>
        <w:t xml:space="preserve"> che</w:t>
      </w:r>
      <w:r w:rsidR="00FC4E5F">
        <w:rPr>
          <w:rFonts w:ascii="Times New Roman" w:hAnsi="Times New Roman" w:cs="Times New Roman"/>
          <w:sz w:val="28"/>
          <w:szCs w:val="24"/>
        </w:rPr>
        <w:t xml:space="preserve"> r</w:t>
      </w:r>
      <w:r w:rsidR="00667BF4">
        <w:rPr>
          <w:rFonts w:ascii="Times New Roman" w:hAnsi="Times New Roman" w:cs="Times New Roman"/>
          <w:sz w:val="28"/>
          <w:szCs w:val="24"/>
        </w:rPr>
        <w:t xml:space="preserve">evoca in dubbio </w:t>
      </w:r>
      <w:r w:rsidR="00FC4E5F">
        <w:rPr>
          <w:rFonts w:ascii="Times New Roman" w:hAnsi="Times New Roman" w:cs="Times New Roman"/>
          <w:sz w:val="28"/>
          <w:szCs w:val="24"/>
        </w:rPr>
        <w:t>la decisività del “fattore spaziale”: l’</w:t>
      </w:r>
      <w:r w:rsidR="007548D5">
        <w:rPr>
          <w:rFonts w:ascii="Times New Roman" w:hAnsi="Times New Roman" w:cs="Times New Roman"/>
          <w:sz w:val="28"/>
          <w:szCs w:val="24"/>
        </w:rPr>
        <w:t>a</w:t>
      </w:r>
      <w:r w:rsidR="00FC4E5F">
        <w:rPr>
          <w:rFonts w:ascii="Times New Roman" w:hAnsi="Times New Roman" w:cs="Times New Roman"/>
          <w:sz w:val="28"/>
          <w:szCs w:val="24"/>
        </w:rPr>
        <w:t xml:space="preserve">ffermazione </w:t>
      </w:r>
      <w:r w:rsidR="007548D5">
        <w:rPr>
          <w:rFonts w:ascii="Times New Roman" w:hAnsi="Times New Roman" w:cs="Times New Roman"/>
          <w:sz w:val="28"/>
          <w:szCs w:val="24"/>
        </w:rPr>
        <w:t xml:space="preserve">che l’ &lt;&lt; </w:t>
      </w:r>
      <w:r w:rsidR="0017635F" w:rsidRPr="0024196F">
        <w:rPr>
          <w:rFonts w:ascii="Times New Roman" w:hAnsi="Times New Roman" w:cs="Times New Roman"/>
          <w:sz w:val="28"/>
          <w:szCs w:val="24"/>
        </w:rPr>
        <w:t>estrema mancanza di spazio in una cella di un carcere ha un grosso peso fra gli aspetti da prendere in considerazione allo scopo di stabilire se le condizioni detentive impugnate fossero “degradanti” dal punto di vista dell’Articolo 3</w:t>
      </w:r>
      <w:r w:rsidR="007548D5">
        <w:rPr>
          <w:rFonts w:ascii="Times New Roman" w:hAnsi="Times New Roman" w:cs="Times New Roman"/>
          <w:sz w:val="28"/>
          <w:szCs w:val="24"/>
        </w:rPr>
        <w:t xml:space="preserve"> &gt;&gt;</w:t>
      </w:r>
      <w:r w:rsidR="00FC4E5F">
        <w:rPr>
          <w:rFonts w:ascii="Times New Roman" w:hAnsi="Times New Roman" w:cs="Times New Roman"/>
          <w:sz w:val="28"/>
          <w:szCs w:val="24"/>
        </w:rPr>
        <w:t xml:space="preserve">, è, infatti, immediatamente seguita dalla </w:t>
      </w:r>
      <w:r w:rsidR="00C74274">
        <w:rPr>
          <w:rFonts w:ascii="Times New Roman" w:hAnsi="Times New Roman" w:cs="Times New Roman"/>
          <w:sz w:val="28"/>
          <w:szCs w:val="24"/>
        </w:rPr>
        <w:t xml:space="preserve"> precisa</w:t>
      </w:r>
      <w:r w:rsidR="00FC4E5F">
        <w:rPr>
          <w:rFonts w:ascii="Times New Roman" w:hAnsi="Times New Roman" w:cs="Times New Roman"/>
          <w:sz w:val="28"/>
          <w:szCs w:val="24"/>
        </w:rPr>
        <w:t>zione</w:t>
      </w:r>
      <w:r w:rsidR="00C74274">
        <w:rPr>
          <w:rFonts w:ascii="Times New Roman" w:hAnsi="Times New Roman" w:cs="Times New Roman"/>
          <w:sz w:val="28"/>
          <w:szCs w:val="24"/>
        </w:rPr>
        <w:t xml:space="preserve"> che la violazione </w:t>
      </w:r>
      <w:r w:rsidR="00C74274" w:rsidRPr="00C74274">
        <w:rPr>
          <w:rFonts w:ascii="Times New Roman" w:hAnsi="Times New Roman" w:cs="Times New Roman"/>
          <w:i/>
          <w:sz w:val="28"/>
          <w:szCs w:val="24"/>
        </w:rPr>
        <w:t>de qua</w:t>
      </w:r>
      <w:r w:rsidR="00C74274">
        <w:rPr>
          <w:rFonts w:ascii="Times New Roman" w:hAnsi="Times New Roman" w:cs="Times New Roman"/>
          <w:sz w:val="28"/>
          <w:szCs w:val="24"/>
        </w:rPr>
        <w:t xml:space="preserve"> si </w:t>
      </w:r>
      <w:r w:rsidR="00456632">
        <w:rPr>
          <w:rFonts w:ascii="Times New Roman" w:hAnsi="Times New Roman" w:cs="Times New Roman"/>
          <w:sz w:val="28"/>
          <w:szCs w:val="24"/>
        </w:rPr>
        <w:t>produce</w:t>
      </w:r>
      <w:r w:rsidR="00C74274">
        <w:rPr>
          <w:rFonts w:ascii="Times New Roman" w:hAnsi="Times New Roman" w:cs="Times New Roman"/>
          <w:sz w:val="28"/>
          <w:szCs w:val="24"/>
        </w:rPr>
        <w:t xml:space="preserve"> per il complessivo sommarsi di una molteplicità di fattori concomitanti (quali </w:t>
      </w:r>
      <w:r w:rsidR="0017635F" w:rsidRPr="0024196F">
        <w:rPr>
          <w:rFonts w:ascii="Times New Roman" w:hAnsi="Times New Roman" w:cs="Times New Roman"/>
          <w:sz w:val="28"/>
          <w:szCs w:val="24"/>
        </w:rPr>
        <w:t>la durata della detenzione, le possibilità di attività all’aperto, le condizioni fisiche e mentali del detenuto</w:t>
      </w:r>
      <w:r w:rsidR="00C74274">
        <w:rPr>
          <w:rFonts w:ascii="Times New Roman" w:hAnsi="Times New Roman" w:cs="Times New Roman"/>
          <w:sz w:val="28"/>
          <w:szCs w:val="24"/>
        </w:rPr>
        <w:t xml:space="preserve">) </w:t>
      </w:r>
      <w:r w:rsidR="00456632">
        <w:rPr>
          <w:rFonts w:ascii="Times New Roman" w:hAnsi="Times New Roman" w:cs="Times New Roman"/>
          <w:sz w:val="28"/>
          <w:szCs w:val="24"/>
        </w:rPr>
        <w:t xml:space="preserve">e </w:t>
      </w:r>
      <w:r w:rsidR="00C74274">
        <w:rPr>
          <w:rFonts w:ascii="Times New Roman" w:hAnsi="Times New Roman" w:cs="Times New Roman"/>
          <w:sz w:val="28"/>
          <w:szCs w:val="24"/>
        </w:rPr>
        <w:t>ch</w:t>
      </w:r>
      <w:r w:rsidR="0017635F" w:rsidRPr="0024196F">
        <w:rPr>
          <w:rFonts w:ascii="Times New Roman" w:hAnsi="Times New Roman" w:cs="Times New Roman"/>
          <w:sz w:val="28"/>
          <w:szCs w:val="24"/>
        </w:rPr>
        <w:t xml:space="preserve">e </w:t>
      </w:r>
      <w:r w:rsidR="00456632">
        <w:rPr>
          <w:rFonts w:ascii="Times New Roman" w:hAnsi="Times New Roman" w:cs="Times New Roman"/>
          <w:sz w:val="28"/>
          <w:szCs w:val="24"/>
        </w:rPr>
        <w:t xml:space="preserve">tali elementi </w:t>
      </w:r>
      <w:r w:rsidR="00C74274">
        <w:rPr>
          <w:rFonts w:ascii="Times New Roman" w:hAnsi="Times New Roman" w:cs="Times New Roman"/>
          <w:sz w:val="28"/>
          <w:szCs w:val="24"/>
        </w:rPr>
        <w:t>devono essere accertat</w:t>
      </w:r>
      <w:r w:rsidR="00456632">
        <w:rPr>
          <w:rFonts w:ascii="Times New Roman" w:hAnsi="Times New Roman" w:cs="Times New Roman"/>
          <w:sz w:val="28"/>
          <w:szCs w:val="24"/>
        </w:rPr>
        <w:t>i</w:t>
      </w:r>
      <w:r w:rsidR="00C74274">
        <w:rPr>
          <w:rFonts w:ascii="Times New Roman" w:hAnsi="Times New Roman" w:cs="Times New Roman"/>
          <w:sz w:val="28"/>
          <w:szCs w:val="24"/>
        </w:rPr>
        <w:t xml:space="preserve"> e ponderat</w:t>
      </w:r>
      <w:r w:rsidR="00456632">
        <w:rPr>
          <w:rFonts w:ascii="Times New Roman" w:hAnsi="Times New Roman" w:cs="Times New Roman"/>
          <w:sz w:val="28"/>
          <w:szCs w:val="24"/>
        </w:rPr>
        <w:t>i</w:t>
      </w:r>
      <w:r w:rsidR="00C74274">
        <w:rPr>
          <w:rFonts w:ascii="Times New Roman" w:hAnsi="Times New Roman" w:cs="Times New Roman"/>
          <w:sz w:val="28"/>
          <w:szCs w:val="24"/>
        </w:rPr>
        <w:t xml:space="preserve"> nel caso concreto. La Corte richiama al proposito un </w:t>
      </w:r>
      <w:proofErr w:type="spellStart"/>
      <w:r w:rsidR="00C74274" w:rsidRPr="00C74274">
        <w:rPr>
          <w:rFonts w:ascii="Times New Roman" w:hAnsi="Times New Roman" w:cs="Times New Roman"/>
          <w:i/>
          <w:sz w:val="28"/>
          <w:szCs w:val="24"/>
        </w:rPr>
        <w:t>leading</w:t>
      </w:r>
      <w:proofErr w:type="spellEnd"/>
      <w:r w:rsidR="00C74274" w:rsidRPr="00C74274">
        <w:rPr>
          <w:rFonts w:ascii="Times New Roman" w:hAnsi="Times New Roman" w:cs="Times New Roman"/>
          <w:i/>
          <w:sz w:val="28"/>
          <w:szCs w:val="24"/>
        </w:rPr>
        <w:t xml:space="preserve"> case</w:t>
      </w:r>
      <w:r w:rsidR="00C74274">
        <w:rPr>
          <w:rFonts w:ascii="Times New Roman" w:hAnsi="Times New Roman" w:cs="Times New Roman"/>
          <w:sz w:val="28"/>
          <w:szCs w:val="24"/>
        </w:rPr>
        <w:t xml:space="preserve"> (</w:t>
      </w:r>
      <w:proofErr w:type="spellStart"/>
      <w:r w:rsidR="00C74274">
        <w:rPr>
          <w:rFonts w:ascii="Times New Roman" w:hAnsi="Times New Roman" w:cs="Times New Roman"/>
          <w:sz w:val="28"/>
          <w:szCs w:val="24"/>
        </w:rPr>
        <w:t>sent</w:t>
      </w:r>
      <w:proofErr w:type="spellEnd"/>
      <w:r w:rsidR="00C74274">
        <w:rPr>
          <w:rFonts w:ascii="Times New Roman" w:hAnsi="Times New Roman" w:cs="Times New Roman"/>
          <w:sz w:val="28"/>
          <w:szCs w:val="24"/>
        </w:rPr>
        <w:t xml:space="preserve">. 10 gennaio 2012, </w:t>
      </w:r>
      <w:proofErr w:type="spellStart"/>
      <w:r w:rsidR="00C74274" w:rsidRPr="00891AC9">
        <w:rPr>
          <w:rFonts w:ascii="Times New Roman" w:hAnsi="Times New Roman" w:cs="Times New Roman"/>
          <w:i/>
          <w:sz w:val="28"/>
          <w:szCs w:val="24"/>
        </w:rPr>
        <w:t>Ananyev</w:t>
      </w:r>
      <w:proofErr w:type="spellEnd"/>
      <w:r w:rsidR="00C74274" w:rsidRPr="00891AC9">
        <w:rPr>
          <w:rFonts w:ascii="Times New Roman" w:hAnsi="Times New Roman" w:cs="Times New Roman"/>
          <w:i/>
          <w:sz w:val="28"/>
          <w:szCs w:val="24"/>
        </w:rPr>
        <w:t xml:space="preserve"> ed altri c. Russia</w:t>
      </w:r>
      <w:r w:rsidR="00C74274">
        <w:rPr>
          <w:rFonts w:ascii="Times New Roman" w:hAnsi="Times New Roman" w:cs="Times New Roman"/>
          <w:sz w:val="28"/>
          <w:szCs w:val="24"/>
        </w:rPr>
        <w:t xml:space="preserve">), in cui sono stati stabiliti i criteri per valutare la sussistenza della violazione dell’art. 3 CEDU: </w:t>
      </w:r>
      <w:r w:rsidR="0017635F" w:rsidRPr="0024196F">
        <w:rPr>
          <w:rFonts w:ascii="Times New Roman" w:hAnsi="Times New Roman" w:cs="Times New Roman"/>
          <w:sz w:val="28"/>
          <w:szCs w:val="24"/>
        </w:rPr>
        <w:t xml:space="preserve">(a) ogni detenuto deve avere un posto individuale per dormire nella cella; (b) ognuno deve disporre di almeno 3 metri quadri di superficie; e (c) la superficie totale della cella deve essere tale da permettere ai detenuti di muoversi liberamente fra gli elementi di arredo. </w:t>
      </w:r>
      <w:r w:rsidR="00C74274">
        <w:rPr>
          <w:rFonts w:ascii="Times New Roman" w:hAnsi="Times New Roman" w:cs="Times New Roman"/>
          <w:sz w:val="28"/>
          <w:szCs w:val="24"/>
        </w:rPr>
        <w:t>Ma</w:t>
      </w:r>
      <w:r w:rsidR="00667BF4">
        <w:rPr>
          <w:rFonts w:ascii="Times New Roman" w:hAnsi="Times New Roman" w:cs="Times New Roman"/>
          <w:sz w:val="28"/>
          <w:szCs w:val="24"/>
        </w:rPr>
        <w:t xml:space="preserve"> - qui il punto di scostamento dall’arresto </w:t>
      </w:r>
      <w:proofErr w:type="spellStart"/>
      <w:r w:rsidR="00667BF4">
        <w:rPr>
          <w:rFonts w:ascii="Times New Roman" w:hAnsi="Times New Roman" w:cs="Times New Roman"/>
          <w:sz w:val="28"/>
          <w:szCs w:val="24"/>
        </w:rPr>
        <w:t>Torreggiani</w:t>
      </w:r>
      <w:proofErr w:type="spellEnd"/>
      <w:r w:rsidR="00667BF4">
        <w:rPr>
          <w:rFonts w:ascii="Times New Roman" w:hAnsi="Times New Roman" w:cs="Times New Roman"/>
          <w:sz w:val="28"/>
          <w:szCs w:val="24"/>
        </w:rPr>
        <w:t xml:space="preserve"> - </w:t>
      </w:r>
      <w:r w:rsidR="00C74274">
        <w:rPr>
          <w:rFonts w:ascii="Times New Roman" w:hAnsi="Times New Roman" w:cs="Times New Roman"/>
          <w:sz w:val="28"/>
          <w:szCs w:val="24"/>
        </w:rPr>
        <w:t>il giudice alsaziano</w:t>
      </w:r>
      <w:r w:rsidR="00667BF4">
        <w:rPr>
          <w:rFonts w:ascii="Times New Roman" w:hAnsi="Times New Roman" w:cs="Times New Roman"/>
          <w:sz w:val="28"/>
          <w:szCs w:val="24"/>
        </w:rPr>
        <w:t xml:space="preserve"> precisa che </w:t>
      </w:r>
      <w:r w:rsidR="00C74274">
        <w:rPr>
          <w:rFonts w:ascii="Times New Roman" w:hAnsi="Times New Roman" w:cs="Times New Roman"/>
          <w:sz w:val="28"/>
          <w:szCs w:val="24"/>
        </w:rPr>
        <w:t>l</w:t>
      </w:r>
      <w:r w:rsidR="0017635F" w:rsidRPr="0024196F">
        <w:rPr>
          <w:rFonts w:ascii="Times New Roman" w:hAnsi="Times New Roman" w:cs="Times New Roman"/>
          <w:sz w:val="28"/>
          <w:szCs w:val="24"/>
        </w:rPr>
        <w:t>’assenza di uno fra i suddetti elementi</w:t>
      </w:r>
      <w:r w:rsidR="00C74274">
        <w:rPr>
          <w:rFonts w:ascii="Times New Roman" w:hAnsi="Times New Roman" w:cs="Times New Roman"/>
          <w:sz w:val="28"/>
          <w:szCs w:val="24"/>
        </w:rPr>
        <w:t xml:space="preserve"> (dunque, anche l’eventuale disponibilità di spazi detentivi pro capite inferiore ai 3 mq)</w:t>
      </w:r>
      <w:r w:rsidR="0017635F" w:rsidRPr="0024196F">
        <w:rPr>
          <w:rFonts w:ascii="Times New Roman" w:hAnsi="Times New Roman" w:cs="Times New Roman"/>
          <w:sz w:val="28"/>
          <w:szCs w:val="24"/>
        </w:rPr>
        <w:t xml:space="preserve"> crea </w:t>
      </w:r>
      <w:r w:rsidR="00A03A3A">
        <w:rPr>
          <w:rFonts w:ascii="Times New Roman" w:hAnsi="Times New Roman" w:cs="Times New Roman"/>
          <w:sz w:val="28"/>
          <w:szCs w:val="24"/>
        </w:rPr>
        <w:t xml:space="preserve">soltanto una </w:t>
      </w:r>
      <w:r w:rsidR="00A03A3A" w:rsidRPr="00A03A3A">
        <w:rPr>
          <w:rFonts w:ascii="Times New Roman" w:hAnsi="Times New Roman" w:cs="Times New Roman"/>
          <w:i/>
          <w:sz w:val="28"/>
          <w:szCs w:val="24"/>
        </w:rPr>
        <w:t xml:space="preserve">strong </w:t>
      </w:r>
      <w:proofErr w:type="spellStart"/>
      <w:r w:rsidR="00A03A3A" w:rsidRPr="00A03A3A">
        <w:rPr>
          <w:rFonts w:ascii="Times New Roman" w:hAnsi="Times New Roman" w:cs="Times New Roman"/>
          <w:i/>
          <w:sz w:val="28"/>
          <w:szCs w:val="24"/>
        </w:rPr>
        <w:t>presumption</w:t>
      </w:r>
      <w:proofErr w:type="spellEnd"/>
      <w:r w:rsidR="00A03A3A" w:rsidRPr="00A03A3A">
        <w:rPr>
          <w:rFonts w:ascii="Times New Roman" w:hAnsi="Times New Roman" w:cs="Times New Roman"/>
          <w:i/>
          <w:sz w:val="28"/>
          <w:szCs w:val="24"/>
        </w:rPr>
        <w:t xml:space="preserve"> </w:t>
      </w:r>
      <w:r w:rsidR="0017635F" w:rsidRPr="0024196F">
        <w:rPr>
          <w:rFonts w:ascii="Times New Roman" w:hAnsi="Times New Roman" w:cs="Times New Roman"/>
          <w:sz w:val="28"/>
          <w:szCs w:val="24"/>
        </w:rPr>
        <w:t xml:space="preserve">che le condizioni detentive </w:t>
      </w:r>
      <w:r w:rsidR="00A03A3A">
        <w:rPr>
          <w:rFonts w:ascii="Times New Roman" w:hAnsi="Times New Roman" w:cs="Times New Roman"/>
          <w:sz w:val="28"/>
          <w:szCs w:val="24"/>
        </w:rPr>
        <w:t xml:space="preserve">costituiscano </w:t>
      </w:r>
      <w:r w:rsidR="0017635F" w:rsidRPr="0024196F">
        <w:rPr>
          <w:rFonts w:ascii="Times New Roman" w:hAnsi="Times New Roman" w:cs="Times New Roman"/>
          <w:sz w:val="28"/>
          <w:szCs w:val="24"/>
        </w:rPr>
        <w:t>un trattamento degradante e</w:t>
      </w:r>
      <w:r w:rsidR="00A03A3A">
        <w:rPr>
          <w:rFonts w:ascii="Times New Roman" w:hAnsi="Times New Roman" w:cs="Times New Roman"/>
          <w:sz w:val="28"/>
          <w:szCs w:val="24"/>
        </w:rPr>
        <w:t xml:space="preserve">, conseguentemente, </w:t>
      </w:r>
      <w:r w:rsidR="00A03A3A">
        <w:rPr>
          <w:rFonts w:ascii="Times New Roman" w:hAnsi="Times New Roman" w:cs="Times New Roman"/>
          <w:sz w:val="28"/>
          <w:szCs w:val="24"/>
        </w:rPr>
        <w:lastRenderedPageBreak/>
        <w:t xml:space="preserve">integrino </w:t>
      </w:r>
      <w:r w:rsidR="0017635F" w:rsidRPr="0024196F">
        <w:rPr>
          <w:rFonts w:ascii="Times New Roman" w:hAnsi="Times New Roman" w:cs="Times New Roman"/>
          <w:sz w:val="28"/>
          <w:szCs w:val="24"/>
        </w:rPr>
        <w:t>un’infrazione all’</w:t>
      </w:r>
      <w:r w:rsidR="00A03A3A">
        <w:rPr>
          <w:rFonts w:ascii="Times New Roman" w:hAnsi="Times New Roman" w:cs="Times New Roman"/>
          <w:sz w:val="28"/>
          <w:szCs w:val="24"/>
        </w:rPr>
        <w:t>a</w:t>
      </w:r>
      <w:r w:rsidR="0017635F" w:rsidRPr="0024196F">
        <w:rPr>
          <w:rFonts w:ascii="Times New Roman" w:hAnsi="Times New Roman" w:cs="Times New Roman"/>
          <w:sz w:val="28"/>
          <w:szCs w:val="24"/>
        </w:rPr>
        <w:t>rt</w:t>
      </w:r>
      <w:r w:rsidR="00A03A3A">
        <w:rPr>
          <w:rFonts w:ascii="Times New Roman" w:hAnsi="Times New Roman" w:cs="Times New Roman"/>
          <w:sz w:val="28"/>
          <w:szCs w:val="24"/>
        </w:rPr>
        <w:t>.</w:t>
      </w:r>
      <w:r w:rsidR="0017635F" w:rsidRPr="0024196F">
        <w:rPr>
          <w:rFonts w:ascii="Times New Roman" w:hAnsi="Times New Roman" w:cs="Times New Roman"/>
          <w:sz w:val="28"/>
          <w:szCs w:val="24"/>
        </w:rPr>
        <w:t xml:space="preserve"> 3 </w:t>
      </w:r>
      <w:r w:rsidR="00A03A3A">
        <w:rPr>
          <w:rFonts w:ascii="Times New Roman" w:hAnsi="Times New Roman" w:cs="Times New Roman"/>
          <w:sz w:val="28"/>
          <w:szCs w:val="24"/>
        </w:rPr>
        <w:t>della Convenzione</w:t>
      </w:r>
      <w:r w:rsidR="0017635F" w:rsidRPr="0024196F">
        <w:rPr>
          <w:rFonts w:ascii="Times New Roman" w:hAnsi="Times New Roman" w:cs="Times New Roman"/>
          <w:sz w:val="28"/>
          <w:szCs w:val="24"/>
        </w:rPr>
        <w:t>.</w:t>
      </w:r>
      <w:r w:rsidR="00A03A3A">
        <w:rPr>
          <w:rFonts w:ascii="Times New Roman" w:hAnsi="Times New Roman" w:cs="Times New Roman"/>
          <w:sz w:val="28"/>
          <w:szCs w:val="24"/>
        </w:rPr>
        <w:t xml:space="preserve"> </w:t>
      </w:r>
      <w:r w:rsidR="007D358B">
        <w:rPr>
          <w:rFonts w:ascii="Times New Roman" w:hAnsi="Times New Roman" w:cs="Times New Roman"/>
          <w:sz w:val="28"/>
          <w:szCs w:val="24"/>
        </w:rPr>
        <w:t>In altri termini</w:t>
      </w:r>
      <w:r w:rsidR="00456632">
        <w:rPr>
          <w:rFonts w:ascii="Times New Roman" w:hAnsi="Times New Roman" w:cs="Times New Roman"/>
          <w:sz w:val="28"/>
          <w:szCs w:val="24"/>
        </w:rPr>
        <w:t xml:space="preserve"> - </w:t>
      </w:r>
      <w:r w:rsidR="00A03A3A">
        <w:rPr>
          <w:rFonts w:ascii="Times New Roman" w:hAnsi="Times New Roman" w:cs="Times New Roman"/>
          <w:sz w:val="28"/>
          <w:szCs w:val="24"/>
        </w:rPr>
        <w:t xml:space="preserve">traducendo nel linguaggio giuridico italiano – </w:t>
      </w:r>
      <w:r w:rsidR="00667BF4">
        <w:rPr>
          <w:rFonts w:ascii="Times New Roman" w:hAnsi="Times New Roman" w:cs="Times New Roman"/>
          <w:sz w:val="28"/>
          <w:szCs w:val="24"/>
        </w:rPr>
        <w:t xml:space="preserve">non una prova decisiva della violazione europea, ma </w:t>
      </w:r>
      <w:r w:rsidR="00456632">
        <w:rPr>
          <w:rFonts w:ascii="Times New Roman" w:hAnsi="Times New Roman" w:cs="Times New Roman"/>
          <w:sz w:val="28"/>
          <w:szCs w:val="24"/>
        </w:rPr>
        <w:t>sol</w:t>
      </w:r>
      <w:r w:rsidR="00667BF4">
        <w:rPr>
          <w:rFonts w:ascii="Times New Roman" w:hAnsi="Times New Roman" w:cs="Times New Roman"/>
          <w:sz w:val="28"/>
          <w:szCs w:val="24"/>
        </w:rPr>
        <w:t>tant</w:t>
      </w:r>
      <w:r w:rsidR="00456632">
        <w:rPr>
          <w:rFonts w:ascii="Times New Roman" w:hAnsi="Times New Roman" w:cs="Times New Roman"/>
          <w:sz w:val="28"/>
          <w:szCs w:val="24"/>
        </w:rPr>
        <w:t xml:space="preserve">o una presunzione </w:t>
      </w:r>
      <w:r w:rsidR="00A03A3A">
        <w:rPr>
          <w:rFonts w:ascii="Times New Roman" w:hAnsi="Times New Roman" w:cs="Times New Roman"/>
          <w:sz w:val="28"/>
          <w:szCs w:val="24"/>
        </w:rPr>
        <w:t>relativa</w:t>
      </w:r>
      <w:r w:rsidR="007D358B">
        <w:rPr>
          <w:rFonts w:ascii="Times New Roman" w:hAnsi="Times New Roman" w:cs="Times New Roman"/>
          <w:sz w:val="28"/>
          <w:szCs w:val="24"/>
        </w:rPr>
        <w:t>,</w:t>
      </w:r>
      <w:r w:rsidR="00484AB4">
        <w:rPr>
          <w:rFonts w:ascii="Times New Roman" w:hAnsi="Times New Roman" w:cs="Times New Roman"/>
          <w:sz w:val="28"/>
          <w:szCs w:val="24"/>
        </w:rPr>
        <w:t xml:space="preserve"> </w:t>
      </w:r>
      <w:r w:rsidR="00287A28">
        <w:rPr>
          <w:rFonts w:ascii="Times New Roman" w:hAnsi="Times New Roman" w:cs="Times New Roman"/>
          <w:sz w:val="28"/>
          <w:szCs w:val="24"/>
        </w:rPr>
        <w:t xml:space="preserve">certo </w:t>
      </w:r>
      <w:r w:rsidR="00A03A3A">
        <w:rPr>
          <w:rFonts w:ascii="Times New Roman" w:hAnsi="Times New Roman" w:cs="Times New Roman"/>
          <w:sz w:val="28"/>
          <w:szCs w:val="24"/>
        </w:rPr>
        <w:t>fortemente indiziante di una situazione di illiceità</w:t>
      </w:r>
      <w:r w:rsidR="007D358B">
        <w:rPr>
          <w:rFonts w:ascii="Times New Roman" w:hAnsi="Times New Roman" w:cs="Times New Roman"/>
          <w:sz w:val="28"/>
          <w:szCs w:val="24"/>
        </w:rPr>
        <w:t xml:space="preserve"> ma</w:t>
      </w:r>
      <w:r w:rsidR="00A03A3A">
        <w:rPr>
          <w:rFonts w:ascii="Times New Roman" w:hAnsi="Times New Roman" w:cs="Times New Roman"/>
          <w:sz w:val="28"/>
          <w:szCs w:val="24"/>
        </w:rPr>
        <w:t xml:space="preserve"> </w:t>
      </w:r>
      <w:r w:rsidR="007D358B">
        <w:rPr>
          <w:rFonts w:ascii="Times New Roman" w:hAnsi="Times New Roman" w:cs="Times New Roman"/>
          <w:sz w:val="28"/>
          <w:szCs w:val="24"/>
        </w:rPr>
        <w:t xml:space="preserve">non sufficiente </w:t>
      </w:r>
      <w:r w:rsidR="00A03A3A">
        <w:rPr>
          <w:rFonts w:ascii="Times New Roman" w:hAnsi="Times New Roman" w:cs="Times New Roman"/>
          <w:sz w:val="28"/>
          <w:szCs w:val="24"/>
        </w:rPr>
        <w:t xml:space="preserve">a </w:t>
      </w:r>
      <w:r w:rsidR="007D358B">
        <w:rPr>
          <w:rFonts w:ascii="Times New Roman" w:hAnsi="Times New Roman" w:cs="Times New Roman"/>
          <w:sz w:val="28"/>
          <w:szCs w:val="24"/>
        </w:rPr>
        <w:t xml:space="preserve">sostenere </w:t>
      </w:r>
      <w:r w:rsidR="00A03A3A">
        <w:rPr>
          <w:rFonts w:ascii="Times New Roman" w:hAnsi="Times New Roman" w:cs="Times New Roman"/>
          <w:sz w:val="28"/>
          <w:szCs w:val="24"/>
        </w:rPr>
        <w:t>una condanna dello Stato convenuto. A</w:t>
      </w:r>
      <w:r w:rsidR="007D358B">
        <w:rPr>
          <w:rFonts w:ascii="Times New Roman" w:hAnsi="Times New Roman" w:cs="Times New Roman"/>
          <w:sz w:val="28"/>
          <w:szCs w:val="24"/>
        </w:rPr>
        <w:t>l proposito,</w:t>
      </w:r>
      <w:r w:rsidR="00A03A3A">
        <w:rPr>
          <w:rFonts w:ascii="Times New Roman" w:hAnsi="Times New Roman" w:cs="Times New Roman"/>
          <w:sz w:val="28"/>
          <w:szCs w:val="24"/>
        </w:rPr>
        <w:t xml:space="preserve"> la Corte richiama </w:t>
      </w:r>
      <w:r w:rsidR="00456632">
        <w:rPr>
          <w:rFonts w:ascii="Times New Roman" w:hAnsi="Times New Roman" w:cs="Times New Roman"/>
          <w:sz w:val="28"/>
          <w:szCs w:val="24"/>
        </w:rPr>
        <w:t xml:space="preserve">alcuni </w:t>
      </w:r>
      <w:proofErr w:type="spellStart"/>
      <w:r w:rsidR="00A03A3A" w:rsidRPr="00A03A3A">
        <w:rPr>
          <w:rFonts w:ascii="Times New Roman" w:hAnsi="Times New Roman" w:cs="Times New Roman"/>
          <w:i/>
          <w:sz w:val="28"/>
          <w:szCs w:val="24"/>
        </w:rPr>
        <w:t>precedents</w:t>
      </w:r>
      <w:proofErr w:type="spellEnd"/>
      <w:r w:rsidR="00A03A3A">
        <w:rPr>
          <w:rFonts w:ascii="Times New Roman" w:hAnsi="Times New Roman" w:cs="Times New Roman"/>
          <w:sz w:val="28"/>
          <w:szCs w:val="24"/>
        </w:rPr>
        <w:t xml:space="preserve"> nei quali la mancanza di spazi detentivi minimi è stata ritenuta di per se sufficiente a giustificare l’accoglimento del ricorso (tra i quali il già evocato arresto </w:t>
      </w:r>
      <w:proofErr w:type="spellStart"/>
      <w:r w:rsidR="00A03A3A">
        <w:rPr>
          <w:rFonts w:ascii="Times New Roman" w:hAnsi="Times New Roman" w:cs="Times New Roman"/>
          <w:sz w:val="28"/>
          <w:szCs w:val="24"/>
        </w:rPr>
        <w:t>Torreggiani</w:t>
      </w:r>
      <w:proofErr w:type="spellEnd"/>
      <w:r w:rsidR="00A03A3A">
        <w:rPr>
          <w:rFonts w:ascii="Times New Roman" w:hAnsi="Times New Roman" w:cs="Times New Roman"/>
          <w:sz w:val="28"/>
          <w:szCs w:val="24"/>
        </w:rPr>
        <w:t xml:space="preserve">), ma ricorda altrettanto numerosi casi in cui si è tenuto, invece, conto dell’effetto cumulativo dei diversi aspetti deteriori delle condizioni di detenzione.    </w:t>
      </w:r>
    </w:p>
    <w:p w:rsidR="0017635F" w:rsidRPr="0024196F" w:rsidRDefault="00456632" w:rsidP="00EF0273">
      <w:pPr>
        <w:tabs>
          <w:tab w:val="left" w:pos="993"/>
        </w:tabs>
        <w:spacing w:after="120" w:line="240" w:lineRule="auto"/>
        <w:ind w:left="284"/>
        <w:jc w:val="both"/>
        <w:rPr>
          <w:rFonts w:ascii="Times New Roman" w:hAnsi="Times New Roman" w:cs="Times New Roman"/>
          <w:sz w:val="28"/>
          <w:szCs w:val="24"/>
        </w:rPr>
      </w:pPr>
      <w:r>
        <w:rPr>
          <w:rFonts w:ascii="Times New Roman" w:hAnsi="Times New Roman" w:cs="Times New Roman"/>
          <w:sz w:val="28"/>
          <w:szCs w:val="24"/>
        </w:rPr>
        <w:t>L’</w:t>
      </w:r>
      <w:r w:rsidR="00F97F23" w:rsidRPr="00F97F23">
        <w:rPr>
          <w:rFonts w:ascii="Times New Roman" w:hAnsi="Times New Roman" w:cs="Times New Roman"/>
          <w:i/>
          <w:sz w:val="28"/>
          <w:szCs w:val="24"/>
        </w:rPr>
        <w:t>excursus</w:t>
      </w:r>
      <w:r w:rsidR="00F97F23">
        <w:rPr>
          <w:rFonts w:ascii="Times New Roman" w:hAnsi="Times New Roman" w:cs="Times New Roman"/>
          <w:sz w:val="28"/>
          <w:szCs w:val="24"/>
        </w:rPr>
        <w:t xml:space="preserve"> </w:t>
      </w:r>
      <w:r>
        <w:rPr>
          <w:rFonts w:ascii="Times New Roman" w:hAnsi="Times New Roman" w:cs="Times New Roman"/>
          <w:sz w:val="28"/>
          <w:szCs w:val="24"/>
        </w:rPr>
        <w:t xml:space="preserve">sulla propria giurisprudenza </w:t>
      </w:r>
      <w:r w:rsidR="000033FD">
        <w:rPr>
          <w:rFonts w:ascii="Times New Roman" w:hAnsi="Times New Roman" w:cs="Times New Roman"/>
          <w:sz w:val="28"/>
          <w:szCs w:val="24"/>
        </w:rPr>
        <w:t xml:space="preserve">induce </w:t>
      </w:r>
      <w:r w:rsidR="00F97F23">
        <w:rPr>
          <w:rFonts w:ascii="Times New Roman" w:hAnsi="Times New Roman" w:cs="Times New Roman"/>
          <w:sz w:val="28"/>
          <w:szCs w:val="24"/>
        </w:rPr>
        <w:t xml:space="preserve">il giudice </w:t>
      </w:r>
      <w:r>
        <w:rPr>
          <w:rFonts w:ascii="Times New Roman" w:hAnsi="Times New Roman" w:cs="Times New Roman"/>
          <w:sz w:val="28"/>
          <w:szCs w:val="24"/>
        </w:rPr>
        <w:t xml:space="preserve">dell’arresto in esame </w:t>
      </w:r>
      <w:r w:rsidR="00F97F23">
        <w:rPr>
          <w:rFonts w:ascii="Times New Roman" w:hAnsi="Times New Roman" w:cs="Times New Roman"/>
          <w:sz w:val="28"/>
          <w:szCs w:val="24"/>
        </w:rPr>
        <w:t>a</w:t>
      </w:r>
      <w:r w:rsidR="000033FD">
        <w:rPr>
          <w:rFonts w:ascii="Times New Roman" w:hAnsi="Times New Roman" w:cs="Times New Roman"/>
          <w:sz w:val="28"/>
          <w:szCs w:val="24"/>
        </w:rPr>
        <w:t xml:space="preserve"> enunciare due principi potenzialmente dirompenti, soprattutto per la realtà italiana. Primo: </w:t>
      </w:r>
      <w:r w:rsidR="00F97F23">
        <w:rPr>
          <w:rFonts w:ascii="Times New Roman" w:hAnsi="Times New Roman" w:cs="Times New Roman"/>
          <w:sz w:val="28"/>
          <w:szCs w:val="24"/>
        </w:rPr>
        <w:t xml:space="preserve">la questione dello </w:t>
      </w:r>
      <w:r w:rsidR="0017635F" w:rsidRPr="0024196F">
        <w:rPr>
          <w:rFonts w:ascii="Times New Roman" w:hAnsi="Times New Roman" w:cs="Times New Roman"/>
          <w:sz w:val="28"/>
          <w:szCs w:val="24"/>
        </w:rPr>
        <w:t xml:space="preserve">spazio personale </w:t>
      </w:r>
      <w:r w:rsidR="000033FD">
        <w:rPr>
          <w:rFonts w:ascii="Times New Roman" w:hAnsi="Times New Roman" w:cs="Times New Roman"/>
          <w:sz w:val="28"/>
          <w:szCs w:val="24"/>
        </w:rPr>
        <w:t xml:space="preserve">a disposizione del singolo detenuto costituisce un elemento che va collocato </w:t>
      </w:r>
      <w:r w:rsidR="0017635F" w:rsidRPr="0024196F">
        <w:rPr>
          <w:rFonts w:ascii="Times New Roman" w:hAnsi="Times New Roman" w:cs="Times New Roman"/>
          <w:sz w:val="28"/>
          <w:szCs w:val="24"/>
        </w:rPr>
        <w:t xml:space="preserve">nel </w:t>
      </w:r>
      <w:r w:rsidR="00F97F23">
        <w:rPr>
          <w:rFonts w:ascii="Times New Roman" w:hAnsi="Times New Roman" w:cs="Times New Roman"/>
          <w:sz w:val="28"/>
          <w:szCs w:val="24"/>
        </w:rPr>
        <w:t xml:space="preserve">più ampio </w:t>
      </w:r>
      <w:r w:rsidR="0017635F" w:rsidRPr="0024196F">
        <w:rPr>
          <w:rFonts w:ascii="Times New Roman" w:hAnsi="Times New Roman" w:cs="Times New Roman"/>
          <w:sz w:val="28"/>
          <w:szCs w:val="24"/>
        </w:rPr>
        <w:t xml:space="preserve">contesto del regime </w:t>
      </w:r>
      <w:r w:rsidR="00F97F23">
        <w:rPr>
          <w:rFonts w:ascii="Times New Roman" w:hAnsi="Times New Roman" w:cs="Times New Roman"/>
          <w:sz w:val="28"/>
          <w:szCs w:val="24"/>
        </w:rPr>
        <w:t xml:space="preserve">penitenziario concretamente </w:t>
      </w:r>
      <w:r w:rsidR="00F070C9">
        <w:rPr>
          <w:rFonts w:ascii="Times New Roman" w:hAnsi="Times New Roman" w:cs="Times New Roman"/>
          <w:sz w:val="28"/>
          <w:szCs w:val="24"/>
        </w:rPr>
        <w:t xml:space="preserve">applicato al </w:t>
      </w:r>
      <w:r w:rsidR="007D358B">
        <w:rPr>
          <w:rFonts w:ascii="Times New Roman" w:hAnsi="Times New Roman" w:cs="Times New Roman"/>
          <w:sz w:val="28"/>
          <w:szCs w:val="24"/>
        </w:rPr>
        <w:t>r</w:t>
      </w:r>
      <w:r w:rsidR="00F070C9">
        <w:rPr>
          <w:rFonts w:ascii="Times New Roman" w:hAnsi="Times New Roman" w:cs="Times New Roman"/>
          <w:sz w:val="28"/>
          <w:szCs w:val="24"/>
        </w:rPr>
        <w:t>icorrente</w:t>
      </w:r>
      <w:r w:rsidR="000033FD">
        <w:rPr>
          <w:rFonts w:ascii="Times New Roman" w:hAnsi="Times New Roman" w:cs="Times New Roman"/>
          <w:sz w:val="28"/>
          <w:szCs w:val="24"/>
        </w:rPr>
        <w:t xml:space="preserve"> (</w:t>
      </w:r>
      <w:r w:rsidR="001135B3">
        <w:rPr>
          <w:rFonts w:ascii="Times New Roman" w:hAnsi="Times New Roman" w:cs="Times New Roman"/>
          <w:sz w:val="28"/>
          <w:szCs w:val="24"/>
        </w:rPr>
        <w:t xml:space="preserve">corollario: è il trattamento penitenziario </w:t>
      </w:r>
      <w:r w:rsidR="000033FD">
        <w:rPr>
          <w:rFonts w:ascii="Times New Roman" w:hAnsi="Times New Roman" w:cs="Times New Roman"/>
          <w:sz w:val="28"/>
          <w:szCs w:val="24"/>
        </w:rPr>
        <w:t xml:space="preserve">l’effettivo oggetto dell’accertamento </w:t>
      </w:r>
      <w:r w:rsidR="007D358B">
        <w:rPr>
          <w:rFonts w:ascii="Times New Roman" w:hAnsi="Times New Roman" w:cs="Times New Roman"/>
          <w:sz w:val="28"/>
          <w:szCs w:val="24"/>
        </w:rPr>
        <w:t xml:space="preserve">demandato al </w:t>
      </w:r>
      <w:r w:rsidR="000033FD">
        <w:rPr>
          <w:rFonts w:ascii="Times New Roman" w:hAnsi="Times New Roman" w:cs="Times New Roman"/>
          <w:sz w:val="28"/>
          <w:szCs w:val="24"/>
        </w:rPr>
        <w:t>giudice). Le condizioni detentive, peraltro, vanno</w:t>
      </w:r>
      <w:r w:rsidR="00F070C9">
        <w:rPr>
          <w:rFonts w:ascii="Times New Roman" w:hAnsi="Times New Roman" w:cs="Times New Roman"/>
          <w:sz w:val="28"/>
          <w:szCs w:val="24"/>
        </w:rPr>
        <w:t xml:space="preserve"> intes</w:t>
      </w:r>
      <w:r w:rsidR="000033FD">
        <w:rPr>
          <w:rFonts w:ascii="Times New Roman" w:hAnsi="Times New Roman" w:cs="Times New Roman"/>
          <w:sz w:val="28"/>
          <w:szCs w:val="24"/>
        </w:rPr>
        <w:t>e</w:t>
      </w:r>
      <w:r w:rsidR="00F070C9">
        <w:rPr>
          <w:rFonts w:ascii="Times New Roman" w:hAnsi="Times New Roman" w:cs="Times New Roman"/>
          <w:sz w:val="28"/>
          <w:szCs w:val="24"/>
        </w:rPr>
        <w:t xml:space="preserve"> nella più ampia accezione, che attinge l’eventuale </w:t>
      </w:r>
      <w:r w:rsidR="0017635F" w:rsidRPr="0024196F">
        <w:rPr>
          <w:rFonts w:ascii="Times New Roman" w:hAnsi="Times New Roman" w:cs="Times New Roman"/>
          <w:sz w:val="28"/>
          <w:szCs w:val="24"/>
        </w:rPr>
        <w:t>assegnazione ad una struttura detentiva del tutto inadeguata</w:t>
      </w:r>
      <w:r w:rsidR="00F070C9">
        <w:rPr>
          <w:rFonts w:ascii="Times New Roman" w:hAnsi="Times New Roman" w:cs="Times New Roman"/>
          <w:sz w:val="28"/>
          <w:szCs w:val="24"/>
        </w:rPr>
        <w:t xml:space="preserve"> </w:t>
      </w:r>
      <w:r w:rsidR="0017635F" w:rsidRPr="0024196F">
        <w:rPr>
          <w:rFonts w:ascii="Times New Roman" w:hAnsi="Times New Roman" w:cs="Times New Roman"/>
          <w:sz w:val="28"/>
          <w:szCs w:val="24"/>
        </w:rPr>
        <w:t xml:space="preserve">o </w:t>
      </w:r>
      <w:r w:rsidR="00F070C9">
        <w:rPr>
          <w:rFonts w:ascii="Times New Roman" w:hAnsi="Times New Roman" w:cs="Times New Roman"/>
          <w:sz w:val="28"/>
          <w:szCs w:val="24"/>
        </w:rPr>
        <w:t xml:space="preserve">gli </w:t>
      </w:r>
      <w:r w:rsidR="0017635F" w:rsidRPr="0024196F">
        <w:rPr>
          <w:rFonts w:ascii="Times New Roman" w:hAnsi="Times New Roman" w:cs="Times New Roman"/>
          <w:sz w:val="28"/>
          <w:szCs w:val="24"/>
        </w:rPr>
        <w:t>accertati problemi strutturali nelle carceri (</w:t>
      </w:r>
      <w:r w:rsidR="00F070C9">
        <w:rPr>
          <w:rFonts w:ascii="Times New Roman" w:hAnsi="Times New Roman" w:cs="Times New Roman"/>
          <w:sz w:val="28"/>
          <w:szCs w:val="24"/>
        </w:rPr>
        <w:t xml:space="preserve">significativamente, molti precedenti richiamati </w:t>
      </w:r>
      <w:r w:rsidR="000033FD">
        <w:rPr>
          <w:rFonts w:ascii="Times New Roman" w:hAnsi="Times New Roman" w:cs="Times New Roman"/>
          <w:sz w:val="28"/>
          <w:szCs w:val="24"/>
        </w:rPr>
        <w:t xml:space="preserve">dall’arresto in commento </w:t>
      </w:r>
      <w:r w:rsidR="00F070C9">
        <w:rPr>
          <w:rFonts w:ascii="Times New Roman" w:hAnsi="Times New Roman" w:cs="Times New Roman"/>
          <w:sz w:val="28"/>
          <w:szCs w:val="24"/>
        </w:rPr>
        <w:t>riguardano la situazione in Grecia)</w:t>
      </w:r>
      <w:r w:rsidR="0017635F" w:rsidRPr="0024196F">
        <w:rPr>
          <w:rFonts w:ascii="Times New Roman" w:hAnsi="Times New Roman" w:cs="Times New Roman"/>
          <w:sz w:val="28"/>
          <w:szCs w:val="24"/>
        </w:rPr>
        <w:t xml:space="preserve">. </w:t>
      </w:r>
      <w:r w:rsidR="000033FD">
        <w:rPr>
          <w:rFonts w:ascii="Times New Roman" w:hAnsi="Times New Roman" w:cs="Times New Roman"/>
          <w:sz w:val="28"/>
          <w:szCs w:val="24"/>
        </w:rPr>
        <w:t xml:space="preserve">Secondo: la “linea del Piave” dei 3 mq, al di sotto della quale si riteneva accertato </w:t>
      </w:r>
      <w:proofErr w:type="spellStart"/>
      <w:r w:rsidR="000033FD" w:rsidRPr="000033FD">
        <w:rPr>
          <w:rFonts w:ascii="Times New Roman" w:hAnsi="Times New Roman" w:cs="Times New Roman"/>
          <w:i/>
          <w:sz w:val="28"/>
          <w:szCs w:val="24"/>
        </w:rPr>
        <w:t>juris</w:t>
      </w:r>
      <w:proofErr w:type="spellEnd"/>
      <w:r w:rsidR="000033FD" w:rsidRPr="000033FD">
        <w:rPr>
          <w:rFonts w:ascii="Times New Roman" w:hAnsi="Times New Roman" w:cs="Times New Roman"/>
          <w:i/>
          <w:sz w:val="28"/>
          <w:szCs w:val="24"/>
        </w:rPr>
        <w:t xml:space="preserve"> et de </w:t>
      </w:r>
      <w:proofErr w:type="spellStart"/>
      <w:r w:rsidR="000033FD" w:rsidRPr="000033FD">
        <w:rPr>
          <w:rFonts w:ascii="Times New Roman" w:hAnsi="Times New Roman" w:cs="Times New Roman"/>
          <w:i/>
          <w:sz w:val="28"/>
          <w:szCs w:val="24"/>
        </w:rPr>
        <w:t>jure</w:t>
      </w:r>
      <w:proofErr w:type="spellEnd"/>
      <w:r w:rsidR="000033FD">
        <w:rPr>
          <w:rFonts w:ascii="Times New Roman" w:hAnsi="Times New Roman" w:cs="Times New Roman"/>
          <w:sz w:val="28"/>
          <w:szCs w:val="24"/>
        </w:rPr>
        <w:t xml:space="preserve"> il pregiudizio di cui all’art. 3 CEDU è </w:t>
      </w:r>
      <w:r w:rsidR="007D358B">
        <w:rPr>
          <w:rFonts w:ascii="Times New Roman" w:hAnsi="Times New Roman" w:cs="Times New Roman"/>
          <w:sz w:val="28"/>
          <w:szCs w:val="24"/>
        </w:rPr>
        <w:t>definitivamente superata</w:t>
      </w:r>
      <w:r w:rsidR="000033FD">
        <w:rPr>
          <w:rFonts w:ascii="Times New Roman" w:hAnsi="Times New Roman" w:cs="Times New Roman"/>
          <w:sz w:val="28"/>
          <w:szCs w:val="24"/>
        </w:rPr>
        <w:t xml:space="preserve">, dal momento che la </w:t>
      </w:r>
      <w:r w:rsidR="000033FD" w:rsidRPr="000033FD">
        <w:rPr>
          <w:rFonts w:ascii="Times New Roman" w:hAnsi="Times New Roman" w:cs="Times New Roman"/>
          <w:i/>
          <w:sz w:val="28"/>
          <w:szCs w:val="24"/>
        </w:rPr>
        <w:t xml:space="preserve">strong </w:t>
      </w:r>
      <w:proofErr w:type="spellStart"/>
      <w:r w:rsidR="000033FD" w:rsidRPr="000033FD">
        <w:rPr>
          <w:rFonts w:ascii="Times New Roman" w:hAnsi="Times New Roman" w:cs="Times New Roman"/>
          <w:i/>
          <w:sz w:val="28"/>
          <w:szCs w:val="24"/>
        </w:rPr>
        <w:t>presumption</w:t>
      </w:r>
      <w:proofErr w:type="spellEnd"/>
      <w:r w:rsidR="000033FD">
        <w:rPr>
          <w:rFonts w:ascii="Times New Roman" w:hAnsi="Times New Roman" w:cs="Times New Roman"/>
          <w:sz w:val="28"/>
          <w:szCs w:val="24"/>
        </w:rPr>
        <w:t xml:space="preserve">  associata a spazi detentivi inferiori alla detta soglia può essere vinta, soprattutto in c</w:t>
      </w:r>
      <w:r w:rsidR="0017635F" w:rsidRPr="0024196F">
        <w:rPr>
          <w:rFonts w:ascii="Times New Roman" w:hAnsi="Times New Roman" w:cs="Times New Roman"/>
          <w:sz w:val="28"/>
          <w:szCs w:val="24"/>
        </w:rPr>
        <w:t xml:space="preserve">aso di </w:t>
      </w:r>
      <w:r w:rsidR="000033FD">
        <w:rPr>
          <w:rFonts w:ascii="Times New Roman" w:hAnsi="Times New Roman" w:cs="Times New Roman"/>
          <w:sz w:val="28"/>
          <w:szCs w:val="24"/>
        </w:rPr>
        <w:t xml:space="preserve">&lt;&lt; </w:t>
      </w:r>
      <w:r w:rsidR="0017635F" w:rsidRPr="0024196F">
        <w:rPr>
          <w:rFonts w:ascii="Times New Roman" w:hAnsi="Times New Roman" w:cs="Times New Roman"/>
          <w:sz w:val="28"/>
          <w:szCs w:val="24"/>
        </w:rPr>
        <w:t>brevi e occasionali piccole restrizioni dello spazio personale necessario, unite alla sufficiente libertà di movimento ed a sufficienti attività svolte al di fuori delle celle ed all’assegnazione ad una struttura detentiva adeguata</w:t>
      </w:r>
      <w:r w:rsidR="007D358B">
        <w:rPr>
          <w:rFonts w:ascii="Times New Roman" w:hAnsi="Times New Roman" w:cs="Times New Roman"/>
          <w:sz w:val="28"/>
          <w:szCs w:val="24"/>
        </w:rPr>
        <w:t xml:space="preserve"> </w:t>
      </w:r>
      <w:r w:rsidR="000033FD">
        <w:rPr>
          <w:rFonts w:ascii="Times New Roman" w:hAnsi="Times New Roman" w:cs="Times New Roman"/>
          <w:sz w:val="28"/>
          <w:szCs w:val="24"/>
        </w:rPr>
        <w:t>&gt;&gt;.</w:t>
      </w:r>
      <w:r w:rsidR="00EF0273">
        <w:rPr>
          <w:rFonts w:ascii="Times New Roman" w:hAnsi="Times New Roman" w:cs="Times New Roman"/>
          <w:sz w:val="28"/>
          <w:szCs w:val="24"/>
        </w:rPr>
        <w:t xml:space="preserve"> </w:t>
      </w:r>
    </w:p>
    <w:p w:rsidR="001135B3" w:rsidRDefault="00890332" w:rsidP="00106E05">
      <w:pPr>
        <w:tabs>
          <w:tab w:val="left" w:pos="993"/>
        </w:tabs>
        <w:spacing w:after="120" w:line="240" w:lineRule="auto"/>
        <w:ind w:left="284"/>
        <w:jc w:val="both"/>
        <w:rPr>
          <w:rFonts w:ascii="Times New Roman" w:hAnsi="Times New Roman" w:cs="Times New Roman"/>
          <w:sz w:val="28"/>
          <w:szCs w:val="24"/>
        </w:rPr>
      </w:pPr>
      <w:r>
        <w:rPr>
          <w:rFonts w:ascii="Times New Roman" w:hAnsi="Times New Roman" w:cs="Times New Roman"/>
          <w:sz w:val="28"/>
          <w:szCs w:val="24"/>
        </w:rPr>
        <w:t xml:space="preserve">Il primo dato che induce una riflessione (e che, significativamente, ha indotto il giudice </w:t>
      </w:r>
      <w:proofErr w:type="spellStart"/>
      <w:r>
        <w:rPr>
          <w:rFonts w:ascii="Times New Roman" w:hAnsi="Times New Roman" w:cs="Times New Roman"/>
          <w:sz w:val="28"/>
          <w:szCs w:val="24"/>
        </w:rPr>
        <w:t>Sicilianos</w:t>
      </w:r>
      <w:proofErr w:type="spellEnd"/>
      <w:r>
        <w:rPr>
          <w:rFonts w:ascii="Times New Roman" w:hAnsi="Times New Roman" w:cs="Times New Roman"/>
          <w:sz w:val="28"/>
          <w:szCs w:val="24"/>
        </w:rPr>
        <w:t xml:space="preserve">, componente del collegio, ad esprimere un’opinione dissenziente) è certamente </w:t>
      </w:r>
      <w:r w:rsidR="00484AB4">
        <w:rPr>
          <w:rFonts w:ascii="Times New Roman" w:hAnsi="Times New Roman" w:cs="Times New Roman"/>
          <w:sz w:val="28"/>
          <w:szCs w:val="24"/>
        </w:rPr>
        <w:t>rappresentato da</w:t>
      </w:r>
      <w:r>
        <w:rPr>
          <w:rFonts w:ascii="Times New Roman" w:hAnsi="Times New Roman" w:cs="Times New Roman"/>
          <w:sz w:val="28"/>
          <w:szCs w:val="24"/>
        </w:rPr>
        <w:t xml:space="preserve">l superamento dell’assunto, che sembrava </w:t>
      </w:r>
      <w:r w:rsidR="003861E9">
        <w:rPr>
          <w:rFonts w:ascii="Times New Roman" w:hAnsi="Times New Roman" w:cs="Times New Roman"/>
          <w:sz w:val="28"/>
          <w:szCs w:val="24"/>
        </w:rPr>
        <w:t xml:space="preserve">indotto dai </w:t>
      </w:r>
      <w:proofErr w:type="spellStart"/>
      <w:r w:rsidR="003861E9" w:rsidRPr="003861E9">
        <w:rPr>
          <w:rFonts w:ascii="Times New Roman" w:hAnsi="Times New Roman" w:cs="Times New Roman"/>
          <w:i/>
          <w:sz w:val="28"/>
          <w:szCs w:val="24"/>
        </w:rPr>
        <w:t>precedents</w:t>
      </w:r>
      <w:proofErr w:type="spellEnd"/>
      <w:r w:rsidR="003861E9">
        <w:rPr>
          <w:rFonts w:ascii="Times New Roman" w:hAnsi="Times New Roman" w:cs="Times New Roman"/>
          <w:sz w:val="28"/>
          <w:szCs w:val="24"/>
        </w:rPr>
        <w:t xml:space="preserve"> di Strasburgo </w:t>
      </w:r>
      <w:r>
        <w:rPr>
          <w:rFonts w:ascii="Times New Roman" w:hAnsi="Times New Roman" w:cs="Times New Roman"/>
          <w:sz w:val="28"/>
          <w:szCs w:val="24"/>
        </w:rPr>
        <w:t>relativo all</w:t>
      </w:r>
      <w:r w:rsidR="00484AB4">
        <w:rPr>
          <w:rFonts w:ascii="Times New Roman" w:hAnsi="Times New Roman" w:cs="Times New Roman"/>
          <w:sz w:val="28"/>
          <w:szCs w:val="24"/>
        </w:rPr>
        <w:t>a corrispondenza biunivoca tr</w:t>
      </w:r>
      <w:r>
        <w:rPr>
          <w:rFonts w:ascii="Times New Roman" w:hAnsi="Times New Roman" w:cs="Times New Roman"/>
          <w:sz w:val="28"/>
          <w:szCs w:val="24"/>
        </w:rPr>
        <w:t xml:space="preserve">a l’accertamento della assegnazione al ricorrente di </w:t>
      </w:r>
      <w:r w:rsidR="0017635F" w:rsidRPr="0024196F">
        <w:rPr>
          <w:rFonts w:ascii="Times New Roman" w:hAnsi="Times New Roman" w:cs="Times New Roman"/>
          <w:sz w:val="28"/>
          <w:szCs w:val="24"/>
        </w:rPr>
        <w:t xml:space="preserve">uno spazio personale inferiore ai 3 metri quadri </w:t>
      </w:r>
      <w:r>
        <w:rPr>
          <w:rFonts w:ascii="Times New Roman" w:hAnsi="Times New Roman" w:cs="Times New Roman"/>
          <w:sz w:val="28"/>
          <w:szCs w:val="24"/>
        </w:rPr>
        <w:t xml:space="preserve">e la sussistenza della violazione dell’art.3 CEDU, principio che pure la Corte di Strasburgo aveva affermato </w:t>
      </w:r>
      <w:proofErr w:type="spellStart"/>
      <w:r w:rsidRPr="00890332">
        <w:rPr>
          <w:rFonts w:ascii="Times New Roman" w:hAnsi="Times New Roman" w:cs="Times New Roman"/>
          <w:i/>
          <w:sz w:val="28"/>
          <w:szCs w:val="24"/>
        </w:rPr>
        <w:t>claris</w:t>
      </w:r>
      <w:proofErr w:type="spellEnd"/>
      <w:r w:rsidRPr="00890332">
        <w:rPr>
          <w:rFonts w:ascii="Times New Roman" w:hAnsi="Times New Roman" w:cs="Times New Roman"/>
          <w:i/>
          <w:sz w:val="28"/>
          <w:szCs w:val="24"/>
        </w:rPr>
        <w:t xml:space="preserve"> </w:t>
      </w:r>
      <w:proofErr w:type="spellStart"/>
      <w:r w:rsidRPr="00890332">
        <w:rPr>
          <w:rFonts w:ascii="Times New Roman" w:hAnsi="Times New Roman" w:cs="Times New Roman"/>
          <w:i/>
          <w:sz w:val="28"/>
          <w:szCs w:val="24"/>
        </w:rPr>
        <w:t>verbis</w:t>
      </w:r>
      <w:proofErr w:type="spellEnd"/>
      <w:r>
        <w:rPr>
          <w:rFonts w:ascii="Times New Roman" w:hAnsi="Times New Roman" w:cs="Times New Roman"/>
          <w:sz w:val="28"/>
          <w:szCs w:val="24"/>
        </w:rPr>
        <w:t xml:space="preserve"> </w:t>
      </w:r>
      <w:r w:rsidR="00897AAA">
        <w:rPr>
          <w:rFonts w:ascii="Times New Roman" w:hAnsi="Times New Roman" w:cs="Times New Roman"/>
          <w:sz w:val="28"/>
          <w:szCs w:val="24"/>
        </w:rPr>
        <w:t>in altre precedenti pronunce</w:t>
      </w:r>
      <w:r w:rsidR="00456632">
        <w:rPr>
          <w:rFonts w:ascii="Times New Roman" w:hAnsi="Times New Roman" w:cs="Times New Roman"/>
          <w:sz w:val="28"/>
          <w:szCs w:val="24"/>
        </w:rPr>
        <w:t xml:space="preserve"> </w:t>
      </w:r>
      <w:r>
        <w:rPr>
          <w:rFonts w:ascii="Times New Roman" w:hAnsi="Times New Roman" w:cs="Times New Roman"/>
          <w:sz w:val="28"/>
          <w:szCs w:val="24"/>
        </w:rPr>
        <w:t>(a es. con riferimento alla situazione italiana, nell’</w:t>
      </w:r>
      <w:r w:rsidR="00287A28">
        <w:rPr>
          <w:rFonts w:ascii="Times New Roman" w:hAnsi="Times New Roman" w:cs="Times New Roman"/>
          <w:sz w:val="28"/>
          <w:szCs w:val="24"/>
        </w:rPr>
        <w:t xml:space="preserve">evocato </w:t>
      </w:r>
      <w:r w:rsidR="00897AAA">
        <w:rPr>
          <w:rFonts w:ascii="Times New Roman" w:hAnsi="Times New Roman" w:cs="Times New Roman"/>
          <w:sz w:val="28"/>
          <w:szCs w:val="24"/>
        </w:rPr>
        <w:t xml:space="preserve">arresto </w:t>
      </w:r>
      <w:proofErr w:type="spellStart"/>
      <w:r w:rsidR="00897AAA">
        <w:rPr>
          <w:rFonts w:ascii="Times New Roman" w:hAnsi="Times New Roman" w:cs="Times New Roman"/>
          <w:sz w:val="28"/>
          <w:szCs w:val="24"/>
        </w:rPr>
        <w:t>Torreggiani</w:t>
      </w:r>
      <w:proofErr w:type="spellEnd"/>
      <w:r w:rsidR="00897AAA">
        <w:rPr>
          <w:rFonts w:ascii="Times New Roman" w:hAnsi="Times New Roman" w:cs="Times New Roman"/>
          <w:sz w:val="28"/>
          <w:szCs w:val="24"/>
        </w:rPr>
        <w:t xml:space="preserve">), </w:t>
      </w:r>
      <w:r w:rsidR="003861E9">
        <w:rPr>
          <w:rFonts w:ascii="Times New Roman" w:hAnsi="Times New Roman" w:cs="Times New Roman"/>
          <w:sz w:val="28"/>
          <w:szCs w:val="24"/>
        </w:rPr>
        <w:t xml:space="preserve">e che ora sembra invece ridimensionato a presunzione relativa da ponderare con </w:t>
      </w:r>
      <w:r w:rsidR="00A34E12">
        <w:rPr>
          <w:rFonts w:ascii="Times New Roman" w:hAnsi="Times New Roman" w:cs="Times New Roman"/>
          <w:sz w:val="28"/>
          <w:szCs w:val="24"/>
        </w:rPr>
        <w:t>i</w:t>
      </w:r>
      <w:r w:rsidR="003861E9">
        <w:rPr>
          <w:rFonts w:ascii="Times New Roman" w:hAnsi="Times New Roman" w:cs="Times New Roman"/>
          <w:sz w:val="28"/>
          <w:szCs w:val="24"/>
        </w:rPr>
        <w:t xml:space="preserve"> molteplici</w:t>
      </w:r>
      <w:r w:rsidR="00A34E12">
        <w:rPr>
          <w:rFonts w:ascii="Times New Roman" w:hAnsi="Times New Roman" w:cs="Times New Roman"/>
          <w:sz w:val="28"/>
          <w:szCs w:val="24"/>
        </w:rPr>
        <w:t xml:space="preserve"> fattori rilevanti nella fattispecie, relativi alle condizioni del trattamento penitenziario concretamente praticato</w:t>
      </w:r>
      <w:r w:rsidR="00287A28">
        <w:rPr>
          <w:rFonts w:ascii="Times New Roman" w:hAnsi="Times New Roman" w:cs="Times New Roman"/>
          <w:sz w:val="28"/>
          <w:szCs w:val="24"/>
        </w:rPr>
        <w:t>. Sono queste ultime, dunque</w:t>
      </w:r>
      <w:r w:rsidR="005847D1">
        <w:rPr>
          <w:rFonts w:ascii="Times New Roman" w:hAnsi="Times New Roman" w:cs="Times New Roman"/>
          <w:sz w:val="28"/>
          <w:szCs w:val="24"/>
        </w:rPr>
        <w:t>,</w:t>
      </w:r>
      <w:r w:rsidR="00456632">
        <w:rPr>
          <w:rFonts w:ascii="Times New Roman" w:hAnsi="Times New Roman" w:cs="Times New Roman"/>
          <w:sz w:val="28"/>
          <w:szCs w:val="24"/>
        </w:rPr>
        <w:t xml:space="preserve"> </w:t>
      </w:r>
      <w:r w:rsidR="00287A28">
        <w:rPr>
          <w:rFonts w:ascii="Times New Roman" w:hAnsi="Times New Roman" w:cs="Times New Roman"/>
          <w:sz w:val="28"/>
          <w:szCs w:val="24"/>
        </w:rPr>
        <w:t xml:space="preserve">a dover essere vagliate </w:t>
      </w:r>
      <w:r w:rsidR="005847D1">
        <w:rPr>
          <w:rFonts w:ascii="Times New Roman" w:hAnsi="Times New Roman" w:cs="Times New Roman"/>
          <w:sz w:val="28"/>
          <w:szCs w:val="24"/>
        </w:rPr>
        <w:t>– anche nel caso di detenzione in spazi personali inferiori ai 3 mq</w:t>
      </w:r>
      <w:r w:rsidR="00287A28">
        <w:rPr>
          <w:rFonts w:ascii="Times New Roman" w:hAnsi="Times New Roman" w:cs="Times New Roman"/>
          <w:sz w:val="28"/>
          <w:szCs w:val="24"/>
        </w:rPr>
        <w:t xml:space="preserve"> - </w:t>
      </w:r>
      <w:r w:rsidR="00A34E12">
        <w:rPr>
          <w:rFonts w:ascii="Times New Roman" w:hAnsi="Times New Roman" w:cs="Times New Roman"/>
          <w:sz w:val="28"/>
          <w:szCs w:val="24"/>
        </w:rPr>
        <w:t>non più quali mere</w:t>
      </w:r>
      <w:r w:rsidR="003861E9">
        <w:rPr>
          <w:rFonts w:ascii="Times New Roman" w:hAnsi="Times New Roman" w:cs="Times New Roman"/>
          <w:sz w:val="28"/>
          <w:szCs w:val="24"/>
        </w:rPr>
        <w:t xml:space="preserve"> “c</w:t>
      </w:r>
      <w:r w:rsidR="00A34E12">
        <w:rPr>
          <w:rFonts w:ascii="Times New Roman" w:hAnsi="Times New Roman" w:cs="Times New Roman"/>
          <w:sz w:val="28"/>
          <w:szCs w:val="24"/>
        </w:rPr>
        <w:t xml:space="preserve">ircostanze aggravanti” di una </w:t>
      </w:r>
      <w:r w:rsidR="0017635F" w:rsidRPr="0024196F">
        <w:rPr>
          <w:rFonts w:ascii="Times New Roman" w:hAnsi="Times New Roman" w:cs="Times New Roman"/>
          <w:sz w:val="28"/>
          <w:szCs w:val="24"/>
        </w:rPr>
        <w:t>violazione</w:t>
      </w:r>
      <w:r w:rsidR="00A34E12">
        <w:rPr>
          <w:rFonts w:ascii="Times New Roman" w:hAnsi="Times New Roman" w:cs="Times New Roman"/>
          <w:sz w:val="28"/>
          <w:szCs w:val="24"/>
        </w:rPr>
        <w:t xml:space="preserve"> </w:t>
      </w:r>
      <w:proofErr w:type="spellStart"/>
      <w:r w:rsidR="00A34E12" w:rsidRPr="00A34E12">
        <w:rPr>
          <w:rFonts w:ascii="Times New Roman" w:hAnsi="Times New Roman" w:cs="Times New Roman"/>
          <w:i/>
          <w:sz w:val="28"/>
          <w:szCs w:val="24"/>
        </w:rPr>
        <w:t>aliunde</w:t>
      </w:r>
      <w:proofErr w:type="spellEnd"/>
      <w:r w:rsidR="00A34E12">
        <w:rPr>
          <w:rFonts w:ascii="Times New Roman" w:hAnsi="Times New Roman" w:cs="Times New Roman"/>
          <w:sz w:val="28"/>
          <w:szCs w:val="24"/>
        </w:rPr>
        <w:t xml:space="preserve"> riscontrata, bensì quali veri e propri elementi costitutivi della medesima.</w:t>
      </w:r>
    </w:p>
    <w:p w:rsidR="00106E05" w:rsidRDefault="00A34E12" w:rsidP="00106E05">
      <w:pPr>
        <w:tabs>
          <w:tab w:val="left" w:pos="993"/>
        </w:tabs>
        <w:spacing w:after="120" w:line="240" w:lineRule="auto"/>
        <w:ind w:left="284"/>
        <w:jc w:val="both"/>
        <w:rPr>
          <w:rFonts w:ascii="Times New Roman" w:hAnsi="Times New Roman" w:cs="Times New Roman"/>
          <w:sz w:val="28"/>
          <w:szCs w:val="24"/>
        </w:rPr>
      </w:pPr>
      <w:r>
        <w:rPr>
          <w:rFonts w:ascii="Times New Roman" w:hAnsi="Times New Roman" w:cs="Times New Roman"/>
          <w:sz w:val="28"/>
          <w:szCs w:val="24"/>
        </w:rPr>
        <w:lastRenderedPageBreak/>
        <w:t>Tale apparente</w:t>
      </w:r>
      <w:r w:rsidRPr="00A34E12">
        <w:rPr>
          <w:rFonts w:ascii="Times New Roman" w:hAnsi="Times New Roman" w:cs="Times New Roman"/>
          <w:i/>
          <w:sz w:val="28"/>
          <w:szCs w:val="24"/>
        </w:rPr>
        <w:t xml:space="preserve"> </w:t>
      </w:r>
      <w:proofErr w:type="spellStart"/>
      <w:r w:rsidRPr="00A34E12">
        <w:rPr>
          <w:rFonts w:ascii="Times New Roman" w:hAnsi="Times New Roman" w:cs="Times New Roman"/>
          <w:i/>
          <w:sz w:val="28"/>
          <w:szCs w:val="24"/>
        </w:rPr>
        <w:t>revirement</w:t>
      </w:r>
      <w:proofErr w:type="spellEnd"/>
      <w:r w:rsidRPr="00A34E12">
        <w:rPr>
          <w:rFonts w:ascii="Times New Roman" w:hAnsi="Times New Roman" w:cs="Times New Roman"/>
          <w:i/>
          <w:sz w:val="28"/>
          <w:szCs w:val="24"/>
        </w:rPr>
        <w:t xml:space="preserve"> </w:t>
      </w:r>
      <w:r>
        <w:rPr>
          <w:rFonts w:ascii="Times New Roman" w:hAnsi="Times New Roman" w:cs="Times New Roman"/>
          <w:i/>
          <w:sz w:val="28"/>
          <w:szCs w:val="24"/>
        </w:rPr>
        <w:t xml:space="preserve">– </w:t>
      </w:r>
      <w:r>
        <w:rPr>
          <w:rFonts w:ascii="Times New Roman" w:hAnsi="Times New Roman" w:cs="Times New Roman"/>
          <w:sz w:val="28"/>
          <w:szCs w:val="24"/>
        </w:rPr>
        <w:t>soprattutto se dovesse consolidarsi in una serie</w:t>
      </w:r>
      <w:r w:rsidR="007D358B">
        <w:rPr>
          <w:rFonts w:ascii="Times New Roman" w:hAnsi="Times New Roman" w:cs="Times New Roman"/>
          <w:sz w:val="28"/>
          <w:szCs w:val="24"/>
        </w:rPr>
        <w:t xml:space="preserve"> storica</w:t>
      </w:r>
      <w:r>
        <w:rPr>
          <w:rFonts w:ascii="Times New Roman" w:hAnsi="Times New Roman" w:cs="Times New Roman"/>
          <w:sz w:val="28"/>
          <w:szCs w:val="24"/>
        </w:rPr>
        <w:t xml:space="preserve"> di precedenti conformi - determin</w:t>
      </w:r>
      <w:r w:rsidR="00456632">
        <w:rPr>
          <w:rFonts w:ascii="Times New Roman" w:hAnsi="Times New Roman" w:cs="Times New Roman"/>
          <w:sz w:val="28"/>
          <w:szCs w:val="24"/>
        </w:rPr>
        <w:t>erebbe</w:t>
      </w:r>
      <w:r>
        <w:rPr>
          <w:rFonts w:ascii="Times New Roman" w:hAnsi="Times New Roman" w:cs="Times New Roman"/>
          <w:sz w:val="28"/>
          <w:szCs w:val="24"/>
        </w:rPr>
        <w:t xml:space="preserve"> inevitabilmente alcune </w:t>
      </w:r>
      <w:r w:rsidR="00287A28">
        <w:rPr>
          <w:rFonts w:ascii="Times New Roman" w:hAnsi="Times New Roman" w:cs="Times New Roman"/>
          <w:sz w:val="28"/>
          <w:szCs w:val="24"/>
        </w:rPr>
        <w:t xml:space="preserve">non trascurabili </w:t>
      </w:r>
      <w:r>
        <w:rPr>
          <w:rFonts w:ascii="Times New Roman" w:hAnsi="Times New Roman" w:cs="Times New Roman"/>
          <w:sz w:val="28"/>
          <w:szCs w:val="24"/>
        </w:rPr>
        <w:t>conseguenze</w:t>
      </w:r>
      <w:r w:rsidR="002E40B1">
        <w:rPr>
          <w:rFonts w:ascii="Times New Roman" w:hAnsi="Times New Roman" w:cs="Times New Roman"/>
          <w:sz w:val="28"/>
          <w:szCs w:val="24"/>
        </w:rPr>
        <w:t xml:space="preserve">. Priverebbe, </w:t>
      </w:r>
      <w:r>
        <w:rPr>
          <w:rFonts w:ascii="Times New Roman" w:hAnsi="Times New Roman" w:cs="Times New Roman"/>
          <w:sz w:val="28"/>
          <w:szCs w:val="24"/>
        </w:rPr>
        <w:t>anzitutto, il cont</w:t>
      </w:r>
      <w:r w:rsidR="00013551">
        <w:rPr>
          <w:rFonts w:ascii="Times New Roman" w:hAnsi="Times New Roman" w:cs="Times New Roman"/>
          <w:sz w:val="28"/>
          <w:szCs w:val="24"/>
        </w:rPr>
        <w:t xml:space="preserve">esto giuridico di riferimento di ogni riferimento </w:t>
      </w:r>
      <w:r w:rsidR="007D358B">
        <w:rPr>
          <w:rFonts w:ascii="Times New Roman" w:hAnsi="Times New Roman" w:cs="Times New Roman"/>
          <w:sz w:val="28"/>
          <w:szCs w:val="24"/>
        </w:rPr>
        <w:t>oggettivo</w:t>
      </w:r>
      <w:r w:rsidR="00013551">
        <w:rPr>
          <w:rFonts w:ascii="Times New Roman" w:hAnsi="Times New Roman" w:cs="Times New Roman"/>
          <w:sz w:val="28"/>
          <w:szCs w:val="24"/>
        </w:rPr>
        <w:t xml:space="preserve">, </w:t>
      </w:r>
      <w:r w:rsidR="007D358B">
        <w:rPr>
          <w:rFonts w:ascii="Times New Roman" w:hAnsi="Times New Roman" w:cs="Times New Roman"/>
          <w:sz w:val="28"/>
          <w:szCs w:val="24"/>
        </w:rPr>
        <w:t xml:space="preserve">e accrescerebbe l’incertezza di una cornice interpretativa </w:t>
      </w:r>
      <w:r w:rsidR="00013551">
        <w:rPr>
          <w:rFonts w:ascii="Times New Roman" w:hAnsi="Times New Roman" w:cs="Times New Roman"/>
          <w:sz w:val="28"/>
          <w:szCs w:val="24"/>
        </w:rPr>
        <w:t xml:space="preserve"> che</w:t>
      </w:r>
      <w:r w:rsidR="001135B3">
        <w:rPr>
          <w:rFonts w:ascii="Times New Roman" w:hAnsi="Times New Roman" w:cs="Times New Roman"/>
          <w:sz w:val="28"/>
          <w:szCs w:val="24"/>
        </w:rPr>
        <w:t>,</w:t>
      </w:r>
      <w:r w:rsidR="00013551">
        <w:rPr>
          <w:rFonts w:ascii="Times New Roman" w:hAnsi="Times New Roman" w:cs="Times New Roman"/>
          <w:sz w:val="28"/>
          <w:szCs w:val="24"/>
        </w:rPr>
        <w:t xml:space="preserve"> </w:t>
      </w:r>
      <w:r w:rsidR="001135B3">
        <w:rPr>
          <w:rFonts w:ascii="Times New Roman" w:hAnsi="Times New Roman" w:cs="Times New Roman"/>
          <w:sz w:val="28"/>
          <w:szCs w:val="24"/>
        </w:rPr>
        <w:t>già</w:t>
      </w:r>
      <w:r w:rsidR="00013551">
        <w:rPr>
          <w:rFonts w:ascii="Times New Roman" w:hAnsi="Times New Roman" w:cs="Times New Roman"/>
          <w:sz w:val="28"/>
          <w:szCs w:val="24"/>
        </w:rPr>
        <w:t xml:space="preserve"> oggi</w:t>
      </w:r>
      <w:r w:rsidR="001135B3">
        <w:rPr>
          <w:rFonts w:ascii="Times New Roman" w:hAnsi="Times New Roman" w:cs="Times New Roman"/>
          <w:sz w:val="28"/>
          <w:szCs w:val="24"/>
        </w:rPr>
        <w:t>,</w:t>
      </w:r>
      <w:r w:rsidR="00013551">
        <w:rPr>
          <w:rFonts w:ascii="Times New Roman" w:hAnsi="Times New Roman" w:cs="Times New Roman"/>
          <w:sz w:val="28"/>
          <w:szCs w:val="24"/>
        </w:rPr>
        <w:t xml:space="preserve"> </w:t>
      </w:r>
      <w:r w:rsidR="007D358B">
        <w:rPr>
          <w:rFonts w:ascii="Times New Roman" w:hAnsi="Times New Roman" w:cs="Times New Roman"/>
          <w:sz w:val="28"/>
          <w:szCs w:val="24"/>
        </w:rPr>
        <w:t xml:space="preserve">annovera </w:t>
      </w:r>
      <w:r w:rsidR="001135B3">
        <w:rPr>
          <w:rFonts w:ascii="Times New Roman" w:hAnsi="Times New Roman" w:cs="Times New Roman"/>
          <w:sz w:val="28"/>
          <w:szCs w:val="24"/>
        </w:rPr>
        <w:t xml:space="preserve">ben </w:t>
      </w:r>
      <w:r w:rsidR="00013551">
        <w:rPr>
          <w:rFonts w:ascii="Times New Roman" w:hAnsi="Times New Roman" w:cs="Times New Roman"/>
          <w:sz w:val="28"/>
          <w:szCs w:val="24"/>
        </w:rPr>
        <w:t xml:space="preserve">quattro </w:t>
      </w:r>
      <w:r w:rsidR="007D358B">
        <w:rPr>
          <w:rFonts w:ascii="Times New Roman" w:hAnsi="Times New Roman" w:cs="Times New Roman"/>
          <w:sz w:val="28"/>
          <w:szCs w:val="24"/>
        </w:rPr>
        <w:t>orientamenti</w:t>
      </w:r>
      <w:r w:rsidR="00013551">
        <w:rPr>
          <w:rFonts w:ascii="Times New Roman" w:hAnsi="Times New Roman" w:cs="Times New Roman"/>
          <w:sz w:val="28"/>
          <w:szCs w:val="24"/>
        </w:rPr>
        <w:t xml:space="preserve">: 1) quello per cui anche al di sotto della soglia critica dei 3 mq per detenuto vi sia solo una “forte presunzione” di violazione dell’art. 3 CEDU, vincibile in presenza di altri fattori positivi concomitanti (adottato dalla sentenza in commento); 2) quello per cui la discesa sotto la detta soglia integra </w:t>
      </w:r>
      <w:r w:rsidR="00013551" w:rsidRPr="00013551">
        <w:rPr>
          <w:rFonts w:ascii="Times New Roman" w:hAnsi="Times New Roman" w:cs="Times New Roman"/>
          <w:i/>
          <w:sz w:val="28"/>
          <w:szCs w:val="24"/>
        </w:rPr>
        <w:t>ex se</w:t>
      </w:r>
      <w:r w:rsidR="00013551">
        <w:rPr>
          <w:rFonts w:ascii="Times New Roman" w:hAnsi="Times New Roman" w:cs="Times New Roman"/>
          <w:sz w:val="28"/>
          <w:szCs w:val="24"/>
        </w:rPr>
        <w:t xml:space="preserve"> una violazione</w:t>
      </w:r>
      <w:r w:rsidR="002E40B1">
        <w:rPr>
          <w:rFonts w:ascii="Times New Roman" w:hAnsi="Times New Roman" w:cs="Times New Roman"/>
          <w:sz w:val="28"/>
          <w:szCs w:val="24"/>
        </w:rPr>
        <w:t xml:space="preserve"> europea</w:t>
      </w:r>
      <w:r w:rsidR="00013551">
        <w:rPr>
          <w:rFonts w:ascii="Times New Roman" w:hAnsi="Times New Roman" w:cs="Times New Roman"/>
          <w:sz w:val="28"/>
          <w:szCs w:val="24"/>
        </w:rPr>
        <w:t>; 3) quello che esige invece il rispetto della più elevata soglia di 4 mq pro capite auspicata dal CPT, il cui mancato rispetto integra automaticamente una violazione; 4) quello che ritiene, in presenza di spazi detentivi pro capite compresi tra i 3 e i 4 mq, la sussistenza di una “forte presunzione” della violazione, superabile</w:t>
      </w:r>
      <w:r w:rsidR="00A378CD">
        <w:rPr>
          <w:rFonts w:ascii="Times New Roman" w:hAnsi="Times New Roman" w:cs="Times New Roman"/>
          <w:sz w:val="28"/>
          <w:szCs w:val="24"/>
        </w:rPr>
        <w:t xml:space="preserve"> con il riscontro di un trattamento penitenziario che temperi la limitatezza degli spazi fruibili dal detenuto. </w:t>
      </w:r>
    </w:p>
    <w:p w:rsidR="005847D1" w:rsidRDefault="005847D1" w:rsidP="005847D1">
      <w:pPr>
        <w:tabs>
          <w:tab w:val="left" w:pos="993"/>
        </w:tabs>
        <w:spacing w:after="120" w:line="240" w:lineRule="auto"/>
        <w:ind w:left="284"/>
        <w:jc w:val="both"/>
        <w:rPr>
          <w:rFonts w:ascii="Times New Roman" w:hAnsi="Times New Roman" w:cs="Times New Roman"/>
          <w:sz w:val="28"/>
          <w:szCs w:val="24"/>
        </w:rPr>
      </w:pPr>
      <w:r>
        <w:rPr>
          <w:rFonts w:ascii="Times New Roman" w:hAnsi="Times New Roman" w:cs="Times New Roman"/>
          <w:sz w:val="28"/>
          <w:szCs w:val="24"/>
        </w:rPr>
        <w:t>L’incertezza sui parametri di riferimento relativi alle condizioni detentive rischia, in secondo luogo, di ingenerare gravi incertezze sul piano organizzativo a danno dei governi degli Stati e delle competenti amministrazioni penitenziarie, dal momento che il dubbio sulle dimensioni delle camere di pernottamento, sui criteri di computo del mobilio di arredo e sul rilievo che le condizioni di manutenzione dei locali assumono ai fini della violazione dell’art. 3 CEDU, comporta inevitabili ricadute sulla programmazione degli interventi di edilizia penitenziaria e di ristrutturazione e recupero funzionale degli stabilimenti esistenti</w:t>
      </w:r>
      <w:r w:rsidR="002E40B1">
        <w:rPr>
          <w:rFonts w:ascii="Times New Roman" w:hAnsi="Times New Roman" w:cs="Times New Roman"/>
          <w:sz w:val="28"/>
          <w:szCs w:val="24"/>
        </w:rPr>
        <w:t xml:space="preserve">, dal momento che </w:t>
      </w:r>
      <w:r>
        <w:rPr>
          <w:rFonts w:ascii="Times New Roman" w:hAnsi="Times New Roman" w:cs="Times New Roman"/>
          <w:sz w:val="28"/>
          <w:szCs w:val="24"/>
        </w:rPr>
        <w:t xml:space="preserve"> la violazione dell’art. 3 della Convenzione può essere integrat</w:t>
      </w:r>
      <w:r w:rsidR="00287A28">
        <w:rPr>
          <w:rFonts w:ascii="Times New Roman" w:hAnsi="Times New Roman" w:cs="Times New Roman"/>
          <w:sz w:val="28"/>
          <w:szCs w:val="24"/>
        </w:rPr>
        <w:t>a</w:t>
      </w:r>
      <w:r>
        <w:rPr>
          <w:rFonts w:ascii="Times New Roman" w:hAnsi="Times New Roman" w:cs="Times New Roman"/>
          <w:sz w:val="28"/>
          <w:szCs w:val="24"/>
        </w:rPr>
        <w:t xml:space="preserve"> non solo dalla accertata disponibilità di spazi personali inferiori ai limiti europei, ma anche in relazione alle condizioni di fatiscenza e degrado degli istituti penitenziari nei quali i detenuti sono ospitati.   </w:t>
      </w:r>
    </w:p>
    <w:p w:rsidR="00DA3E09" w:rsidRDefault="002E40B1" w:rsidP="00106E05">
      <w:pPr>
        <w:tabs>
          <w:tab w:val="left" w:pos="993"/>
        </w:tabs>
        <w:spacing w:after="120" w:line="240" w:lineRule="auto"/>
        <w:ind w:left="284"/>
        <w:jc w:val="both"/>
        <w:rPr>
          <w:rFonts w:ascii="Times New Roman" w:hAnsi="Times New Roman" w:cs="Times New Roman"/>
          <w:sz w:val="28"/>
          <w:szCs w:val="24"/>
        </w:rPr>
      </w:pPr>
      <w:r>
        <w:rPr>
          <w:rFonts w:ascii="Times New Roman" w:hAnsi="Times New Roman" w:cs="Times New Roman"/>
          <w:sz w:val="28"/>
          <w:szCs w:val="24"/>
        </w:rPr>
        <w:t xml:space="preserve">Qualora l’indirizzo espresso dall’arresto in commento dovesse consolidarsi, non è </w:t>
      </w:r>
      <w:r w:rsidR="00287A28">
        <w:rPr>
          <w:rFonts w:ascii="Times New Roman" w:hAnsi="Times New Roman" w:cs="Times New Roman"/>
          <w:sz w:val="28"/>
          <w:szCs w:val="24"/>
        </w:rPr>
        <w:t>inoltre da sottovalutare</w:t>
      </w:r>
      <w:r>
        <w:rPr>
          <w:rFonts w:ascii="Times New Roman" w:hAnsi="Times New Roman" w:cs="Times New Roman"/>
          <w:sz w:val="28"/>
          <w:szCs w:val="24"/>
        </w:rPr>
        <w:t xml:space="preserve"> il </w:t>
      </w:r>
      <w:r w:rsidR="005C0E67">
        <w:rPr>
          <w:rFonts w:ascii="Times New Roman" w:hAnsi="Times New Roman" w:cs="Times New Roman"/>
          <w:sz w:val="28"/>
          <w:szCs w:val="24"/>
        </w:rPr>
        <w:t xml:space="preserve">duplice </w:t>
      </w:r>
      <w:r>
        <w:rPr>
          <w:rFonts w:ascii="Times New Roman" w:hAnsi="Times New Roman" w:cs="Times New Roman"/>
          <w:sz w:val="28"/>
          <w:szCs w:val="24"/>
        </w:rPr>
        <w:t>rischio</w:t>
      </w:r>
      <w:r w:rsidR="00A378CD">
        <w:rPr>
          <w:rFonts w:ascii="Times New Roman" w:hAnsi="Times New Roman" w:cs="Times New Roman"/>
          <w:sz w:val="28"/>
          <w:szCs w:val="24"/>
        </w:rPr>
        <w:t xml:space="preserve"> </w:t>
      </w:r>
      <w:r>
        <w:rPr>
          <w:rFonts w:ascii="Times New Roman" w:hAnsi="Times New Roman" w:cs="Times New Roman"/>
          <w:sz w:val="28"/>
          <w:szCs w:val="24"/>
        </w:rPr>
        <w:t xml:space="preserve">di </w:t>
      </w:r>
      <w:r w:rsidR="00A378CD">
        <w:rPr>
          <w:rFonts w:ascii="Times New Roman" w:hAnsi="Times New Roman" w:cs="Times New Roman"/>
          <w:sz w:val="28"/>
          <w:szCs w:val="24"/>
        </w:rPr>
        <w:t xml:space="preserve">una diminuzione in concreto del livello di tutela accordato a molte situazioni penitenziarie </w:t>
      </w:r>
      <w:r w:rsidR="00A378CD">
        <w:rPr>
          <w:rFonts w:ascii="Times New Roman" w:hAnsi="Times New Roman" w:cs="Times New Roman"/>
          <w:i/>
          <w:sz w:val="28"/>
          <w:szCs w:val="24"/>
        </w:rPr>
        <w:t xml:space="preserve">borderline, </w:t>
      </w:r>
      <w:r w:rsidR="00A378CD">
        <w:rPr>
          <w:rFonts w:ascii="Times New Roman" w:hAnsi="Times New Roman" w:cs="Times New Roman"/>
          <w:sz w:val="28"/>
          <w:szCs w:val="24"/>
        </w:rPr>
        <w:t xml:space="preserve">alle quali, pur in presenza di spazi detentivi di poco inferiori ai 3 mq, potrebbe negarsi una tutela risarcitoria per la valutazione di altri </w:t>
      </w:r>
      <w:r w:rsidR="00DA3E09">
        <w:rPr>
          <w:rFonts w:ascii="Times New Roman" w:hAnsi="Times New Roman" w:cs="Times New Roman"/>
          <w:sz w:val="28"/>
          <w:szCs w:val="24"/>
        </w:rPr>
        <w:t xml:space="preserve">concomitanti </w:t>
      </w:r>
      <w:r w:rsidR="00A378CD">
        <w:rPr>
          <w:rFonts w:ascii="Times New Roman" w:hAnsi="Times New Roman" w:cs="Times New Roman"/>
          <w:sz w:val="28"/>
          <w:szCs w:val="24"/>
        </w:rPr>
        <w:t>elementi</w:t>
      </w:r>
      <w:r w:rsidR="00DA3E09">
        <w:rPr>
          <w:rFonts w:ascii="Times New Roman" w:hAnsi="Times New Roman" w:cs="Times New Roman"/>
          <w:sz w:val="28"/>
          <w:szCs w:val="24"/>
        </w:rPr>
        <w:t xml:space="preserve"> </w:t>
      </w:r>
      <w:r w:rsidR="00A378CD">
        <w:rPr>
          <w:rFonts w:ascii="Times New Roman" w:hAnsi="Times New Roman" w:cs="Times New Roman"/>
          <w:sz w:val="28"/>
          <w:szCs w:val="24"/>
        </w:rPr>
        <w:t xml:space="preserve"> portati dall’amministrazione penitenziaria per </w:t>
      </w:r>
      <w:r w:rsidR="00DA3E09">
        <w:rPr>
          <w:rFonts w:ascii="Times New Roman" w:hAnsi="Times New Roman" w:cs="Times New Roman"/>
          <w:sz w:val="28"/>
          <w:szCs w:val="24"/>
        </w:rPr>
        <w:t>controbilanciare</w:t>
      </w:r>
      <w:r w:rsidR="00A378CD">
        <w:rPr>
          <w:rFonts w:ascii="Times New Roman" w:hAnsi="Times New Roman" w:cs="Times New Roman"/>
          <w:sz w:val="28"/>
          <w:szCs w:val="24"/>
        </w:rPr>
        <w:t xml:space="preserve"> la “forte presunzione” di violazione dell’art. 3 CEDU</w:t>
      </w:r>
      <w:r w:rsidR="00287A28">
        <w:rPr>
          <w:rFonts w:ascii="Times New Roman" w:hAnsi="Times New Roman" w:cs="Times New Roman"/>
          <w:sz w:val="28"/>
          <w:szCs w:val="24"/>
        </w:rPr>
        <w:t xml:space="preserve"> </w:t>
      </w:r>
      <w:r w:rsidR="00287A28">
        <w:rPr>
          <w:rFonts w:ascii="Times New Roman" w:hAnsi="Times New Roman" w:cs="Times New Roman"/>
          <w:sz w:val="28"/>
          <w:szCs w:val="24"/>
        </w:rPr>
        <w:t xml:space="preserve">(quali a es., le opportunità </w:t>
      </w:r>
      <w:proofErr w:type="spellStart"/>
      <w:r w:rsidR="00287A28">
        <w:rPr>
          <w:rFonts w:ascii="Times New Roman" w:hAnsi="Times New Roman" w:cs="Times New Roman"/>
          <w:sz w:val="28"/>
          <w:szCs w:val="24"/>
        </w:rPr>
        <w:t>trattamentali</w:t>
      </w:r>
      <w:proofErr w:type="spellEnd"/>
      <w:r w:rsidR="00287A28">
        <w:rPr>
          <w:rFonts w:ascii="Times New Roman" w:hAnsi="Times New Roman" w:cs="Times New Roman"/>
          <w:sz w:val="28"/>
          <w:szCs w:val="24"/>
        </w:rPr>
        <w:t>, le possibilità di permanenza all’aria aperta)</w:t>
      </w:r>
      <w:r w:rsidR="00A378CD">
        <w:rPr>
          <w:rFonts w:ascii="Times New Roman" w:hAnsi="Times New Roman" w:cs="Times New Roman"/>
          <w:sz w:val="28"/>
          <w:szCs w:val="24"/>
        </w:rPr>
        <w:t xml:space="preserve">; </w:t>
      </w:r>
      <w:r w:rsidR="005C0E67">
        <w:rPr>
          <w:rFonts w:ascii="Times New Roman" w:hAnsi="Times New Roman" w:cs="Times New Roman"/>
          <w:sz w:val="28"/>
          <w:szCs w:val="24"/>
        </w:rPr>
        <w:t xml:space="preserve">e </w:t>
      </w:r>
      <w:r w:rsidR="00A378CD">
        <w:rPr>
          <w:rFonts w:ascii="Times New Roman" w:hAnsi="Times New Roman" w:cs="Times New Roman"/>
          <w:sz w:val="28"/>
          <w:szCs w:val="24"/>
        </w:rPr>
        <w:t>d</w:t>
      </w:r>
      <w:r w:rsidR="005C0E67">
        <w:rPr>
          <w:rFonts w:ascii="Times New Roman" w:hAnsi="Times New Roman" w:cs="Times New Roman"/>
          <w:sz w:val="28"/>
          <w:szCs w:val="24"/>
        </w:rPr>
        <w:t xml:space="preserve">el concomitante </w:t>
      </w:r>
      <w:r w:rsidR="00A378CD">
        <w:rPr>
          <w:rFonts w:ascii="Times New Roman" w:hAnsi="Times New Roman" w:cs="Times New Roman"/>
          <w:sz w:val="28"/>
          <w:szCs w:val="24"/>
        </w:rPr>
        <w:t xml:space="preserve">sviluppo di una giurisprudenza fortemente asistematica e connotata da un tasso elevatissimo di discrezionalità </w:t>
      </w:r>
      <w:r>
        <w:rPr>
          <w:rFonts w:ascii="Times New Roman" w:hAnsi="Times New Roman" w:cs="Times New Roman"/>
          <w:sz w:val="28"/>
          <w:szCs w:val="24"/>
        </w:rPr>
        <w:t xml:space="preserve">possibile nella duplice ponderazione giudiziale </w:t>
      </w:r>
      <w:r w:rsidR="00A378CD">
        <w:rPr>
          <w:rFonts w:ascii="Times New Roman" w:hAnsi="Times New Roman" w:cs="Times New Roman"/>
          <w:sz w:val="28"/>
          <w:szCs w:val="24"/>
        </w:rPr>
        <w:t>de</w:t>
      </w:r>
      <w:r>
        <w:rPr>
          <w:rFonts w:ascii="Times New Roman" w:hAnsi="Times New Roman" w:cs="Times New Roman"/>
          <w:sz w:val="28"/>
          <w:szCs w:val="24"/>
        </w:rPr>
        <w:t xml:space="preserve">gli </w:t>
      </w:r>
      <w:r w:rsidR="00A378CD">
        <w:rPr>
          <w:rFonts w:ascii="Times New Roman" w:hAnsi="Times New Roman" w:cs="Times New Roman"/>
          <w:sz w:val="28"/>
          <w:szCs w:val="24"/>
        </w:rPr>
        <w:t>elementi</w:t>
      </w:r>
      <w:r>
        <w:rPr>
          <w:rFonts w:ascii="Times New Roman" w:hAnsi="Times New Roman" w:cs="Times New Roman"/>
          <w:sz w:val="28"/>
          <w:szCs w:val="24"/>
        </w:rPr>
        <w:t xml:space="preserve"> rilevanti n</w:t>
      </w:r>
      <w:r w:rsidR="00A378CD">
        <w:rPr>
          <w:rFonts w:ascii="Times New Roman" w:hAnsi="Times New Roman" w:cs="Times New Roman"/>
          <w:sz w:val="28"/>
          <w:szCs w:val="24"/>
        </w:rPr>
        <w:t>el caso concreto</w:t>
      </w:r>
      <w:r>
        <w:rPr>
          <w:rFonts w:ascii="Times New Roman" w:hAnsi="Times New Roman" w:cs="Times New Roman"/>
          <w:sz w:val="28"/>
          <w:szCs w:val="24"/>
        </w:rPr>
        <w:t xml:space="preserve"> (fattore “spaziale” / altre condizioni detentive e </w:t>
      </w:r>
      <w:proofErr w:type="spellStart"/>
      <w:r w:rsidRPr="002E40B1">
        <w:rPr>
          <w:rFonts w:ascii="Times New Roman" w:hAnsi="Times New Roman" w:cs="Times New Roman"/>
          <w:i/>
          <w:sz w:val="28"/>
          <w:szCs w:val="24"/>
        </w:rPr>
        <w:t>ill</w:t>
      </w:r>
      <w:proofErr w:type="spellEnd"/>
      <w:r w:rsidRPr="002E40B1">
        <w:rPr>
          <w:rFonts w:ascii="Times New Roman" w:hAnsi="Times New Roman" w:cs="Times New Roman"/>
          <w:i/>
          <w:sz w:val="28"/>
          <w:szCs w:val="24"/>
        </w:rPr>
        <w:t xml:space="preserve"> treatment</w:t>
      </w:r>
      <w:r>
        <w:rPr>
          <w:rFonts w:ascii="Times New Roman" w:hAnsi="Times New Roman" w:cs="Times New Roman"/>
          <w:sz w:val="28"/>
          <w:szCs w:val="24"/>
        </w:rPr>
        <w:t xml:space="preserve"> /elementi di </w:t>
      </w:r>
      <w:proofErr w:type="spellStart"/>
      <w:r>
        <w:rPr>
          <w:rFonts w:ascii="Times New Roman" w:hAnsi="Times New Roman" w:cs="Times New Roman"/>
          <w:sz w:val="28"/>
          <w:szCs w:val="24"/>
        </w:rPr>
        <w:t>controbilanciamento</w:t>
      </w:r>
      <w:proofErr w:type="spellEnd"/>
      <w:r>
        <w:rPr>
          <w:rFonts w:ascii="Times New Roman" w:hAnsi="Times New Roman" w:cs="Times New Roman"/>
          <w:sz w:val="28"/>
          <w:szCs w:val="24"/>
        </w:rPr>
        <w:t>)</w:t>
      </w:r>
      <w:r w:rsidR="00A378CD">
        <w:rPr>
          <w:rFonts w:ascii="Times New Roman" w:hAnsi="Times New Roman" w:cs="Times New Roman"/>
          <w:sz w:val="28"/>
          <w:szCs w:val="24"/>
        </w:rPr>
        <w:t>, con l</w:t>
      </w:r>
      <w:r w:rsidR="005C0E67">
        <w:rPr>
          <w:rFonts w:ascii="Times New Roman" w:hAnsi="Times New Roman" w:cs="Times New Roman"/>
          <w:sz w:val="28"/>
          <w:szCs w:val="24"/>
        </w:rPr>
        <w:t xml:space="preserve">’ulteriore e </w:t>
      </w:r>
      <w:r w:rsidR="00A378CD">
        <w:rPr>
          <w:rFonts w:ascii="Times New Roman" w:hAnsi="Times New Roman" w:cs="Times New Roman"/>
          <w:sz w:val="28"/>
          <w:szCs w:val="24"/>
        </w:rPr>
        <w:t>non meramente ipotetic</w:t>
      </w:r>
      <w:r w:rsidR="005C0E67">
        <w:rPr>
          <w:rFonts w:ascii="Times New Roman" w:hAnsi="Times New Roman" w:cs="Times New Roman"/>
          <w:sz w:val="28"/>
          <w:szCs w:val="24"/>
        </w:rPr>
        <w:t xml:space="preserve">a possibilità che in concreto si </w:t>
      </w:r>
      <w:r w:rsidR="00A378CD">
        <w:rPr>
          <w:rFonts w:ascii="Times New Roman" w:hAnsi="Times New Roman" w:cs="Times New Roman"/>
          <w:sz w:val="28"/>
          <w:szCs w:val="24"/>
        </w:rPr>
        <w:t>ingener</w:t>
      </w:r>
      <w:r w:rsidR="005C0E67">
        <w:rPr>
          <w:rFonts w:ascii="Times New Roman" w:hAnsi="Times New Roman" w:cs="Times New Roman"/>
          <w:sz w:val="28"/>
          <w:szCs w:val="24"/>
        </w:rPr>
        <w:t>ino</w:t>
      </w:r>
      <w:r w:rsidR="00A378CD">
        <w:rPr>
          <w:rFonts w:ascii="Times New Roman" w:hAnsi="Times New Roman" w:cs="Times New Roman"/>
          <w:sz w:val="28"/>
          <w:szCs w:val="24"/>
        </w:rPr>
        <w:t xml:space="preserve"> gravi disparità di trattamento </w:t>
      </w:r>
      <w:r w:rsidR="005C0E67">
        <w:rPr>
          <w:rFonts w:ascii="Times New Roman" w:hAnsi="Times New Roman" w:cs="Times New Roman"/>
          <w:sz w:val="28"/>
          <w:szCs w:val="24"/>
        </w:rPr>
        <w:t xml:space="preserve">pur a fronte </w:t>
      </w:r>
      <w:r w:rsidR="00A378CD">
        <w:rPr>
          <w:rFonts w:ascii="Times New Roman" w:hAnsi="Times New Roman" w:cs="Times New Roman"/>
          <w:sz w:val="28"/>
          <w:szCs w:val="24"/>
        </w:rPr>
        <w:t xml:space="preserve">situazioni </w:t>
      </w:r>
      <w:r>
        <w:rPr>
          <w:rFonts w:ascii="Times New Roman" w:hAnsi="Times New Roman" w:cs="Times New Roman"/>
          <w:sz w:val="28"/>
          <w:szCs w:val="24"/>
        </w:rPr>
        <w:t xml:space="preserve"> a</w:t>
      </w:r>
      <w:r w:rsidR="005C0E67">
        <w:rPr>
          <w:rFonts w:ascii="Times New Roman" w:hAnsi="Times New Roman" w:cs="Times New Roman"/>
          <w:sz w:val="28"/>
          <w:szCs w:val="24"/>
        </w:rPr>
        <w:t xml:space="preserve">ssimilabili </w:t>
      </w:r>
      <w:r>
        <w:rPr>
          <w:rFonts w:ascii="Times New Roman" w:hAnsi="Times New Roman" w:cs="Times New Roman"/>
          <w:sz w:val="28"/>
          <w:szCs w:val="24"/>
        </w:rPr>
        <w:t xml:space="preserve">sotto il profilo del </w:t>
      </w:r>
      <w:r w:rsidR="000C1931">
        <w:rPr>
          <w:rFonts w:ascii="Times New Roman" w:hAnsi="Times New Roman" w:cs="Times New Roman"/>
          <w:sz w:val="28"/>
          <w:szCs w:val="24"/>
        </w:rPr>
        <w:t xml:space="preserve">degrado e </w:t>
      </w:r>
      <w:r>
        <w:rPr>
          <w:rFonts w:ascii="Times New Roman" w:hAnsi="Times New Roman" w:cs="Times New Roman"/>
          <w:sz w:val="28"/>
          <w:szCs w:val="24"/>
        </w:rPr>
        <w:t xml:space="preserve">del </w:t>
      </w:r>
      <w:r w:rsidR="000C1931">
        <w:rPr>
          <w:rFonts w:ascii="Times New Roman" w:hAnsi="Times New Roman" w:cs="Times New Roman"/>
          <w:sz w:val="28"/>
          <w:szCs w:val="24"/>
        </w:rPr>
        <w:t>sovraffollamento</w:t>
      </w:r>
      <w:r w:rsidR="00A378CD">
        <w:rPr>
          <w:rFonts w:ascii="Times New Roman" w:hAnsi="Times New Roman" w:cs="Times New Roman"/>
          <w:sz w:val="28"/>
          <w:szCs w:val="24"/>
        </w:rPr>
        <w:t xml:space="preserve">. </w:t>
      </w:r>
      <w:r w:rsidR="000C1931">
        <w:rPr>
          <w:rFonts w:ascii="Times New Roman" w:hAnsi="Times New Roman" w:cs="Times New Roman"/>
          <w:sz w:val="28"/>
          <w:szCs w:val="24"/>
        </w:rPr>
        <w:t xml:space="preserve">Tale </w:t>
      </w:r>
      <w:r w:rsidR="005C0E67">
        <w:rPr>
          <w:rFonts w:ascii="Times New Roman" w:hAnsi="Times New Roman" w:cs="Times New Roman"/>
          <w:sz w:val="28"/>
          <w:szCs w:val="24"/>
        </w:rPr>
        <w:t>poco auspicabile eventualità</w:t>
      </w:r>
      <w:r w:rsidR="000C1931">
        <w:rPr>
          <w:rFonts w:ascii="Times New Roman" w:hAnsi="Times New Roman" w:cs="Times New Roman"/>
          <w:sz w:val="28"/>
          <w:szCs w:val="24"/>
        </w:rPr>
        <w:t>, p</w:t>
      </w:r>
      <w:r w:rsidR="00456632">
        <w:rPr>
          <w:rFonts w:ascii="Times New Roman" w:hAnsi="Times New Roman" w:cs="Times New Roman"/>
          <w:sz w:val="28"/>
          <w:szCs w:val="24"/>
        </w:rPr>
        <w:t>u</w:t>
      </w:r>
      <w:r w:rsidR="000C1931">
        <w:rPr>
          <w:rFonts w:ascii="Times New Roman" w:hAnsi="Times New Roman" w:cs="Times New Roman"/>
          <w:sz w:val="28"/>
          <w:szCs w:val="24"/>
        </w:rPr>
        <w:t xml:space="preserve">r </w:t>
      </w:r>
      <w:r w:rsidR="00456632">
        <w:rPr>
          <w:rFonts w:ascii="Times New Roman" w:hAnsi="Times New Roman" w:cs="Times New Roman"/>
          <w:sz w:val="28"/>
          <w:szCs w:val="24"/>
        </w:rPr>
        <w:t xml:space="preserve">in certa misura </w:t>
      </w:r>
      <w:r w:rsidR="009408C1">
        <w:rPr>
          <w:rFonts w:ascii="Times New Roman" w:hAnsi="Times New Roman" w:cs="Times New Roman"/>
          <w:sz w:val="28"/>
          <w:szCs w:val="24"/>
        </w:rPr>
        <w:t>coessenziale al</w:t>
      </w:r>
      <w:r w:rsidR="00DA3E09">
        <w:rPr>
          <w:rFonts w:ascii="Times New Roman" w:hAnsi="Times New Roman" w:cs="Times New Roman"/>
          <w:sz w:val="28"/>
          <w:szCs w:val="24"/>
        </w:rPr>
        <w:t>l’</w:t>
      </w:r>
      <w:r w:rsidR="00106E05">
        <w:rPr>
          <w:rFonts w:ascii="Times New Roman" w:hAnsi="Times New Roman" w:cs="Times New Roman"/>
          <w:sz w:val="28"/>
          <w:szCs w:val="24"/>
        </w:rPr>
        <w:t>approccio</w:t>
      </w:r>
      <w:r w:rsidR="00DA3E09">
        <w:rPr>
          <w:rFonts w:ascii="Times New Roman" w:hAnsi="Times New Roman" w:cs="Times New Roman"/>
          <w:sz w:val="28"/>
          <w:szCs w:val="24"/>
        </w:rPr>
        <w:t xml:space="preserve"> casistico seguito dalla Corte europea e </w:t>
      </w:r>
      <w:r w:rsidR="009408C1">
        <w:rPr>
          <w:rFonts w:ascii="Times New Roman" w:hAnsi="Times New Roman" w:cs="Times New Roman"/>
          <w:sz w:val="28"/>
          <w:szCs w:val="24"/>
        </w:rPr>
        <w:t xml:space="preserve">alla natura </w:t>
      </w:r>
      <w:r w:rsidR="000C1931">
        <w:rPr>
          <w:rFonts w:ascii="Times New Roman" w:hAnsi="Times New Roman" w:cs="Times New Roman"/>
          <w:sz w:val="28"/>
          <w:szCs w:val="24"/>
        </w:rPr>
        <w:t xml:space="preserve"> </w:t>
      </w:r>
      <w:r w:rsidR="009408C1">
        <w:rPr>
          <w:rFonts w:ascii="Times New Roman" w:hAnsi="Times New Roman" w:cs="Times New Roman"/>
          <w:sz w:val="28"/>
          <w:szCs w:val="24"/>
        </w:rPr>
        <w:t>convenzionale delle</w:t>
      </w:r>
      <w:r w:rsidR="000C1931">
        <w:rPr>
          <w:rFonts w:ascii="Times New Roman" w:hAnsi="Times New Roman" w:cs="Times New Roman"/>
          <w:sz w:val="28"/>
          <w:szCs w:val="24"/>
        </w:rPr>
        <w:t xml:space="preserve"> fonti</w:t>
      </w:r>
      <w:r w:rsidR="009408C1">
        <w:rPr>
          <w:rFonts w:ascii="Times New Roman" w:hAnsi="Times New Roman" w:cs="Times New Roman"/>
          <w:sz w:val="28"/>
          <w:szCs w:val="24"/>
        </w:rPr>
        <w:t xml:space="preserve"> </w:t>
      </w:r>
      <w:r w:rsidR="00DA3E09">
        <w:rPr>
          <w:rFonts w:ascii="Times New Roman" w:hAnsi="Times New Roman" w:cs="Times New Roman"/>
          <w:sz w:val="28"/>
          <w:szCs w:val="24"/>
        </w:rPr>
        <w:t xml:space="preserve">del diritto </w:t>
      </w:r>
      <w:r w:rsidR="00DA3E09">
        <w:rPr>
          <w:rFonts w:ascii="Times New Roman" w:hAnsi="Times New Roman" w:cs="Times New Roman"/>
          <w:sz w:val="28"/>
          <w:szCs w:val="24"/>
        </w:rPr>
        <w:lastRenderedPageBreak/>
        <w:t>applicato dai giudici europei e da quelli nazionali dei Paesi aderenti alla CEDU, caratterizzato da</w:t>
      </w:r>
      <w:r w:rsidR="009408C1">
        <w:rPr>
          <w:rFonts w:ascii="Times New Roman" w:hAnsi="Times New Roman" w:cs="Times New Roman"/>
          <w:sz w:val="28"/>
          <w:szCs w:val="24"/>
        </w:rPr>
        <w:t>l</w:t>
      </w:r>
      <w:r w:rsidR="00106E05">
        <w:rPr>
          <w:rFonts w:ascii="Times New Roman" w:hAnsi="Times New Roman" w:cs="Times New Roman"/>
          <w:sz w:val="28"/>
          <w:szCs w:val="24"/>
        </w:rPr>
        <w:t xml:space="preserve">l’utilizzo di termini generali e a volte necessariamente generici (“livello minimo di </w:t>
      </w:r>
      <w:r w:rsidR="00DA3E09">
        <w:rPr>
          <w:rFonts w:ascii="Times New Roman" w:hAnsi="Times New Roman" w:cs="Times New Roman"/>
          <w:sz w:val="28"/>
          <w:szCs w:val="24"/>
        </w:rPr>
        <w:t>gravità</w:t>
      </w:r>
      <w:r w:rsidR="00106E05">
        <w:rPr>
          <w:rFonts w:ascii="Times New Roman" w:hAnsi="Times New Roman" w:cs="Times New Roman"/>
          <w:sz w:val="28"/>
          <w:szCs w:val="24"/>
        </w:rPr>
        <w:t xml:space="preserve">” </w:t>
      </w:r>
      <w:r w:rsidR="00DA3E09">
        <w:rPr>
          <w:rFonts w:ascii="Times New Roman" w:hAnsi="Times New Roman" w:cs="Times New Roman"/>
          <w:sz w:val="28"/>
          <w:szCs w:val="24"/>
        </w:rPr>
        <w:t>ecc.)</w:t>
      </w:r>
      <w:r w:rsidR="009408C1">
        <w:rPr>
          <w:rFonts w:ascii="Times New Roman" w:hAnsi="Times New Roman" w:cs="Times New Roman"/>
          <w:sz w:val="28"/>
          <w:szCs w:val="24"/>
        </w:rPr>
        <w:t>,</w:t>
      </w:r>
      <w:r w:rsidR="00106E05">
        <w:rPr>
          <w:rFonts w:ascii="Times New Roman" w:hAnsi="Times New Roman" w:cs="Times New Roman"/>
          <w:sz w:val="28"/>
          <w:szCs w:val="24"/>
        </w:rPr>
        <w:t xml:space="preserve"> </w:t>
      </w:r>
      <w:r w:rsidR="009408C1">
        <w:rPr>
          <w:rFonts w:ascii="Times New Roman" w:hAnsi="Times New Roman" w:cs="Times New Roman"/>
          <w:sz w:val="28"/>
          <w:szCs w:val="24"/>
        </w:rPr>
        <w:t>rischia</w:t>
      </w:r>
      <w:r w:rsidR="001135B3">
        <w:rPr>
          <w:rFonts w:ascii="Times New Roman" w:hAnsi="Times New Roman" w:cs="Times New Roman"/>
          <w:sz w:val="28"/>
          <w:szCs w:val="24"/>
        </w:rPr>
        <w:t>,</w:t>
      </w:r>
      <w:r w:rsidR="009408C1">
        <w:rPr>
          <w:rFonts w:ascii="Times New Roman" w:hAnsi="Times New Roman" w:cs="Times New Roman"/>
          <w:sz w:val="28"/>
          <w:szCs w:val="24"/>
        </w:rPr>
        <w:t xml:space="preserve"> </w:t>
      </w:r>
      <w:r w:rsidR="005847D1">
        <w:rPr>
          <w:rFonts w:ascii="Times New Roman" w:hAnsi="Times New Roman" w:cs="Times New Roman"/>
          <w:sz w:val="28"/>
          <w:szCs w:val="24"/>
        </w:rPr>
        <w:t>infatti</w:t>
      </w:r>
      <w:r w:rsidR="001135B3">
        <w:rPr>
          <w:rFonts w:ascii="Times New Roman" w:hAnsi="Times New Roman" w:cs="Times New Roman"/>
          <w:sz w:val="28"/>
          <w:szCs w:val="24"/>
        </w:rPr>
        <w:t>,</w:t>
      </w:r>
      <w:r w:rsidR="009408C1">
        <w:rPr>
          <w:rFonts w:ascii="Times New Roman" w:hAnsi="Times New Roman" w:cs="Times New Roman"/>
          <w:sz w:val="28"/>
          <w:szCs w:val="24"/>
        </w:rPr>
        <w:t xml:space="preserve"> di </w:t>
      </w:r>
      <w:r w:rsidR="005C0E67">
        <w:rPr>
          <w:rFonts w:ascii="Times New Roman" w:hAnsi="Times New Roman" w:cs="Times New Roman"/>
          <w:sz w:val="28"/>
          <w:szCs w:val="24"/>
        </w:rPr>
        <w:t>presentarsi non infrequentemente qualora</w:t>
      </w:r>
      <w:r w:rsidR="00456632">
        <w:rPr>
          <w:rFonts w:ascii="Times New Roman" w:hAnsi="Times New Roman" w:cs="Times New Roman"/>
          <w:sz w:val="28"/>
          <w:szCs w:val="24"/>
        </w:rPr>
        <w:t xml:space="preserve"> </w:t>
      </w:r>
      <w:r w:rsidR="005C0E67">
        <w:rPr>
          <w:rFonts w:ascii="Times New Roman" w:hAnsi="Times New Roman" w:cs="Times New Roman"/>
          <w:sz w:val="28"/>
          <w:szCs w:val="24"/>
        </w:rPr>
        <w:t xml:space="preserve">si </w:t>
      </w:r>
      <w:r w:rsidR="00456632">
        <w:rPr>
          <w:rFonts w:ascii="Times New Roman" w:hAnsi="Times New Roman" w:cs="Times New Roman"/>
          <w:sz w:val="28"/>
          <w:szCs w:val="24"/>
        </w:rPr>
        <w:t>prescind</w:t>
      </w:r>
      <w:r w:rsidR="005C0E67">
        <w:rPr>
          <w:rFonts w:ascii="Times New Roman" w:hAnsi="Times New Roman" w:cs="Times New Roman"/>
          <w:sz w:val="28"/>
          <w:szCs w:val="24"/>
        </w:rPr>
        <w:t>a</w:t>
      </w:r>
      <w:r w:rsidR="00456632">
        <w:rPr>
          <w:rFonts w:ascii="Times New Roman" w:hAnsi="Times New Roman" w:cs="Times New Roman"/>
          <w:sz w:val="28"/>
          <w:szCs w:val="24"/>
        </w:rPr>
        <w:t xml:space="preserve"> </w:t>
      </w:r>
      <w:r w:rsidR="009408C1">
        <w:rPr>
          <w:rFonts w:ascii="Times New Roman" w:hAnsi="Times New Roman" w:cs="Times New Roman"/>
          <w:sz w:val="28"/>
          <w:szCs w:val="24"/>
        </w:rPr>
        <w:t>dal</w:t>
      </w:r>
      <w:r>
        <w:rPr>
          <w:rFonts w:ascii="Times New Roman" w:hAnsi="Times New Roman" w:cs="Times New Roman"/>
          <w:sz w:val="28"/>
          <w:szCs w:val="24"/>
        </w:rPr>
        <w:t>l’aggancio al</w:t>
      </w:r>
      <w:r w:rsidR="009408C1">
        <w:rPr>
          <w:rFonts w:ascii="Times New Roman" w:hAnsi="Times New Roman" w:cs="Times New Roman"/>
          <w:sz w:val="28"/>
          <w:szCs w:val="24"/>
        </w:rPr>
        <w:t xml:space="preserve"> profilo oggettivo costituito dalla misurazione delle superfici detentive </w:t>
      </w:r>
      <w:r w:rsidR="005C0E67">
        <w:rPr>
          <w:rFonts w:ascii="Times New Roman" w:hAnsi="Times New Roman" w:cs="Times New Roman"/>
          <w:sz w:val="28"/>
          <w:szCs w:val="24"/>
        </w:rPr>
        <w:t xml:space="preserve">per </w:t>
      </w:r>
      <w:r w:rsidR="009408C1">
        <w:rPr>
          <w:rFonts w:ascii="Times New Roman" w:hAnsi="Times New Roman" w:cs="Times New Roman"/>
          <w:sz w:val="28"/>
          <w:szCs w:val="24"/>
        </w:rPr>
        <w:t>affid</w:t>
      </w:r>
      <w:r w:rsidR="005C0E67">
        <w:rPr>
          <w:rFonts w:ascii="Times New Roman" w:hAnsi="Times New Roman" w:cs="Times New Roman"/>
          <w:sz w:val="28"/>
          <w:szCs w:val="24"/>
        </w:rPr>
        <w:t>are</w:t>
      </w:r>
      <w:r w:rsidR="009408C1">
        <w:rPr>
          <w:rFonts w:ascii="Times New Roman" w:hAnsi="Times New Roman" w:cs="Times New Roman"/>
          <w:sz w:val="28"/>
          <w:szCs w:val="24"/>
        </w:rPr>
        <w:t xml:space="preserve"> l’esito dell’accertamento </w:t>
      </w:r>
      <w:r w:rsidR="00456632">
        <w:rPr>
          <w:rFonts w:ascii="Times New Roman" w:hAnsi="Times New Roman" w:cs="Times New Roman"/>
          <w:sz w:val="28"/>
          <w:szCs w:val="24"/>
        </w:rPr>
        <w:t xml:space="preserve">della violazione comunitaria </w:t>
      </w:r>
      <w:r w:rsidR="009408C1">
        <w:rPr>
          <w:rFonts w:ascii="Times New Roman" w:hAnsi="Times New Roman" w:cs="Times New Roman"/>
          <w:sz w:val="28"/>
          <w:szCs w:val="24"/>
        </w:rPr>
        <w:t>all’apprezzamento discrezionale di una molteplicità di elementi che potrebbero indurre,</w:t>
      </w:r>
      <w:r w:rsidR="00584D34">
        <w:rPr>
          <w:rFonts w:ascii="Times New Roman" w:hAnsi="Times New Roman" w:cs="Times New Roman"/>
          <w:sz w:val="28"/>
          <w:szCs w:val="24"/>
        </w:rPr>
        <w:t xml:space="preserve"> a parità di condizioni detentive degradate, </w:t>
      </w:r>
      <w:r w:rsidR="009408C1">
        <w:rPr>
          <w:rFonts w:ascii="Times New Roman" w:hAnsi="Times New Roman" w:cs="Times New Roman"/>
          <w:sz w:val="28"/>
          <w:szCs w:val="24"/>
        </w:rPr>
        <w:t xml:space="preserve">decisioni difformi relativamente a </w:t>
      </w:r>
      <w:r w:rsidR="00584D34">
        <w:rPr>
          <w:rFonts w:ascii="Times New Roman" w:hAnsi="Times New Roman" w:cs="Times New Roman"/>
          <w:sz w:val="28"/>
          <w:szCs w:val="24"/>
        </w:rPr>
        <w:t xml:space="preserve">detenuti </w:t>
      </w:r>
      <w:r w:rsidR="009408C1">
        <w:rPr>
          <w:rFonts w:ascii="Times New Roman" w:hAnsi="Times New Roman" w:cs="Times New Roman"/>
          <w:sz w:val="28"/>
          <w:szCs w:val="24"/>
        </w:rPr>
        <w:t xml:space="preserve">del medesimo istituto (o addirittura ospitati nella medesima cella: nel caso, a es. di detenuti </w:t>
      </w:r>
      <w:proofErr w:type="spellStart"/>
      <w:r w:rsidR="00584D34">
        <w:rPr>
          <w:rFonts w:ascii="Times New Roman" w:hAnsi="Times New Roman" w:cs="Times New Roman"/>
          <w:sz w:val="28"/>
          <w:szCs w:val="24"/>
        </w:rPr>
        <w:t>permessanti</w:t>
      </w:r>
      <w:proofErr w:type="spellEnd"/>
      <w:r w:rsidR="00584D34">
        <w:rPr>
          <w:rFonts w:ascii="Times New Roman" w:hAnsi="Times New Roman" w:cs="Times New Roman"/>
          <w:sz w:val="28"/>
          <w:szCs w:val="24"/>
        </w:rPr>
        <w:t xml:space="preserve"> </w:t>
      </w:r>
      <w:r>
        <w:rPr>
          <w:rFonts w:ascii="Times New Roman" w:hAnsi="Times New Roman" w:cs="Times New Roman"/>
          <w:sz w:val="28"/>
          <w:szCs w:val="24"/>
        </w:rPr>
        <w:t xml:space="preserve">o </w:t>
      </w:r>
      <w:r w:rsidR="00584D34">
        <w:rPr>
          <w:rFonts w:ascii="Times New Roman" w:hAnsi="Times New Roman" w:cs="Times New Roman"/>
          <w:sz w:val="28"/>
          <w:szCs w:val="24"/>
        </w:rPr>
        <w:t xml:space="preserve">ammessi al lavoro </w:t>
      </w:r>
      <w:r>
        <w:rPr>
          <w:rFonts w:ascii="Times New Roman" w:hAnsi="Times New Roman" w:cs="Times New Roman"/>
          <w:sz w:val="28"/>
          <w:szCs w:val="24"/>
        </w:rPr>
        <w:t xml:space="preserve">in sezione o </w:t>
      </w:r>
      <w:r w:rsidR="00584D34">
        <w:rPr>
          <w:rFonts w:ascii="Times New Roman" w:hAnsi="Times New Roman" w:cs="Times New Roman"/>
          <w:sz w:val="28"/>
          <w:szCs w:val="24"/>
        </w:rPr>
        <w:t>all’esterno</w:t>
      </w:r>
      <w:r w:rsidR="009408C1">
        <w:rPr>
          <w:rFonts w:ascii="Times New Roman" w:hAnsi="Times New Roman" w:cs="Times New Roman"/>
          <w:sz w:val="28"/>
          <w:szCs w:val="24"/>
        </w:rPr>
        <w:t>,</w:t>
      </w:r>
      <w:r w:rsidR="00584D34">
        <w:rPr>
          <w:rFonts w:ascii="Times New Roman" w:hAnsi="Times New Roman" w:cs="Times New Roman"/>
          <w:sz w:val="28"/>
          <w:szCs w:val="24"/>
        </w:rPr>
        <w:t xml:space="preserve"> per i quali, anche se detenuti in spazi inferiori ai 3 mq, la pretesa risarcitoria </w:t>
      </w:r>
      <w:r w:rsidR="00456632">
        <w:rPr>
          <w:rFonts w:ascii="Times New Roman" w:hAnsi="Times New Roman" w:cs="Times New Roman"/>
          <w:sz w:val="28"/>
          <w:szCs w:val="24"/>
        </w:rPr>
        <w:t xml:space="preserve">potrebbe </w:t>
      </w:r>
      <w:r w:rsidR="00584D34">
        <w:rPr>
          <w:rFonts w:ascii="Times New Roman" w:hAnsi="Times New Roman" w:cs="Times New Roman"/>
          <w:sz w:val="28"/>
          <w:szCs w:val="24"/>
        </w:rPr>
        <w:t xml:space="preserve">non </w:t>
      </w:r>
      <w:r w:rsidR="00456632">
        <w:rPr>
          <w:rFonts w:ascii="Times New Roman" w:hAnsi="Times New Roman" w:cs="Times New Roman"/>
          <w:sz w:val="28"/>
          <w:szCs w:val="24"/>
        </w:rPr>
        <w:t>essere</w:t>
      </w:r>
      <w:r w:rsidR="00584D34">
        <w:rPr>
          <w:rFonts w:ascii="Times New Roman" w:hAnsi="Times New Roman" w:cs="Times New Roman"/>
          <w:sz w:val="28"/>
          <w:szCs w:val="24"/>
        </w:rPr>
        <w:t xml:space="preserve"> riconosciuta</w:t>
      </w:r>
      <w:r w:rsidR="009408C1">
        <w:rPr>
          <w:rFonts w:ascii="Times New Roman" w:hAnsi="Times New Roman" w:cs="Times New Roman"/>
          <w:sz w:val="28"/>
          <w:szCs w:val="24"/>
        </w:rPr>
        <w:t>)</w:t>
      </w:r>
      <w:r w:rsidR="00106E05">
        <w:rPr>
          <w:rFonts w:ascii="Times New Roman" w:hAnsi="Times New Roman" w:cs="Times New Roman"/>
          <w:sz w:val="28"/>
          <w:szCs w:val="24"/>
        </w:rPr>
        <w:t xml:space="preserve">. </w:t>
      </w:r>
    </w:p>
    <w:p w:rsidR="008871B1" w:rsidRDefault="00584D34" w:rsidP="008871B1">
      <w:pPr>
        <w:tabs>
          <w:tab w:val="left" w:pos="993"/>
        </w:tabs>
        <w:spacing w:after="120" w:line="240" w:lineRule="auto"/>
        <w:ind w:left="284"/>
        <w:jc w:val="both"/>
        <w:rPr>
          <w:rFonts w:ascii="Times New Roman" w:hAnsi="Times New Roman" w:cs="Times New Roman"/>
          <w:sz w:val="28"/>
          <w:szCs w:val="24"/>
        </w:rPr>
      </w:pPr>
      <w:r>
        <w:rPr>
          <w:rFonts w:ascii="Times New Roman" w:hAnsi="Times New Roman" w:cs="Times New Roman"/>
          <w:sz w:val="28"/>
          <w:szCs w:val="24"/>
        </w:rPr>
        <w:t>Non va, in</w:t>
      </w:r>
      <w:r w:rsidR="00217360">
        <w:rPr>
          <w:rFonts w:ascii="Times New Roman" w:hAnsi="Times New Roman" w:cs="Times New Roman"/>
          <w:sz w:val="28"/>
          <w:szCs w:val="24"/>
        </w:rPr>
        <w:t xml:space="preserve">fine, sottovalutato il delicatissimo </w:t>
      </w:r>
      <w:r>
        <w:rPr>
          <w:rFonts w:ascii="Times New Roman" w:hAnsi="Times New Roman" w:cs="Times New Roman"/>
          <w:sz w:val="28"/>
          <w:szCs w:val="24"/>
        </w:rPr>
        <w:t xml:space="preserve">profilo </w:t>
      </w:r>
      <w:r w:rsidR="00217360">
        <w:rPr>
          <w:rFonts w:ascii="Times New Roman" w:hAnsi="Times New Roman" w:cs="Times New Roman"/>
          <w:sz w:val="28"/>
          <w:szCs w:val="24"/>
        </w:rPr>
        <w:t>portato in evidenza</w:t>
      </w:r>
      <w:r>
        <w:rPr>
          <w:rFonts w:ascii="Times New Roman" w:hAnsi="Times New Roman" w:cs="Times New Roman"/>
          <w:sz w:val="28"/>
          <w:szCs w:val="24"/>
        </w:rPr>
        <w:t xml:space="preserve"> dall’arresto in commento, per cui l’oggetto del procedimento di accertamento della violazione dell’art.3 CEDU viene</w:t>
      </w:r>
      <w:r w:rsidR="00217360">
        <w:rPr>
          <w:rFonts w:ascii="Times New Roman" w:hAnsi="Times New Roman" w:cs="Times New Roman"/>
          <w:sz w:val="28"/>
          <w:szCs w:val="24"/>
        </w:rPr>
        <w:t xml:space="preserve"> individuato nella qualità </w:t>
      </w:r>
      <w:r>
        <w:rPr>
          <w:rFonts w:ascii="Times New Roman" w:hAnsi="Times New Roman" w:cs="Times New Roman"/>
          <w:sz w:val="28"/>
          <w:szCs w:val="24"/>
        </w:rPr>
        <w:t>complessiv</w:t>
      </w:r>
      <w:r w:rsidR="00217360">
        <w:rPr>
          <w:rFonts w:ascii="Times New Roman" w:hAnsi="Times New Roman" w:cs="Times New Roman"/>
          <w:sz w:val="28"/>
          <w:szCs w:val="24"/>
        </w:rPr>
        <w:t>a del</w:t>
      </w:r>
      <w:r>
        <w:rPr>
          <w:rFonts w:ascii="Times New Roman" w:hAnsi="Times New Roman" w:cs="Times New Roman"/>
          <w:sz w:val="28"/>
          <w:szCs w:val="24"/>
        </w:rPr>
        <w:t xml:space="preserve"> livello del trattamento penitenziario somministrato dallo Stato</w:t>
      </w:r>
      <w:r w:rsidR="008871B1">
        <w:rPr>
          <w:rFonts w:ascii="Times New Roman" w:hAnsi="Times New Roman" w:cs="Times New Roman"/>
          <w:sz w:val="28"/>
          <w:szCs w:val="24"/>
        </w:rPr>
        <w:t>-</w:t>
      </w:r>
      <w:r>
        <w:rPr>
          <w:rFonts w:ascii="Times New Roman" w:hAnsi="Times New Roman" w:cs="Times New Roman"/>
          <w:sz w:val="28"/>
          <w:szCs w:val="24"/>
        </w:rPr>
        <w:t xml:space="preserve">amministrazione </w:t>
      </w:r>
      <w:r w:rsidR="008871B1">
        <w:rPr>
          <w:rFonts w:ascii="Times New Roman" w:hAnsi="Times New Roman" w:cs="Times New Roman"/>
          <w:sz w:val="28"/>
          <w:szCs w:val="24"/>
        </w:rPr>
        <w:t>alla popolazione detenuta. Non si fa</w:t>
      </w:r>
      <w:r>
        <w:rPr>
          <w:rFonts w:ascii="Times New Roman" w:hAnsi="Times New Roman" w:cs="Times New Roman"/>
          <w:sz w:val="28"/>
          <w:szCs w:val="24"/>
        </w:rPr>
        <w:t xml:space="preserve"> </w:t>
      </w:r>
      <w:r w:rsidR="008871B1">
        <w:rPr>
          <w:rFonts w:ascii="Times New Roman" w:hAnsi="Times New Roman" w:cs="Times New Roman"/>
          <w:sz w:val="28"/>
          <w:szCs w:val="24"/>
        </w:rPr>
        <w:t xml:space="preserve">- </w:t>
      </w:r>
      <w:r>
        <w:rPr>
          <w:rFonts w:ascii="Times New Roman" w:hAnsi="Times New Roman" w:cs="Times New Roman"/>
          <w:sz w:val="28"/>
          <w:szCs w:val="24"/>
        </w:rPr>
        <w:t xml:space="preserve">in altri termini </w:t>
      </w:r>
      <w:r w:rsidR="008871B1">
        <w:rPr>
          <w:rFonts w:ascii="Times New Roman" w:hAnsi="Times New Roman" w:cs="Times New Roman"/>
          <w:sz w:val="28"/>
          <w:szCs w:val="24"/>
        </w:rPr>
        <w:t xml:space="preserve">- </w:t>
      </w:r>
      <w:r>
        <w:rPr>
          <w:rFonts w:ascii="Times New Roman" w:hAnsi="Times New Roman" w:cs="Times New Roman"/>
          <w:sz w:val="28"/>
          <w:szCs w:val="24"/>
        </w:rPr>
        <w:t xml:space="preserve">questione di </w:t>
      </w:r>
      <w:r w:rsidR="001135B3">
        <w:rPr>
          <w:rFonts w:ascii="Times New Roman" w:hAnsi="Times New Roman" w:cs="Times New Roman"/>
          <w:sz w:val="28"/>
          <w:szCs w:val="24"/>
        </w:rPr>
        <w:t xml:space="preserve">mera </w:t>
      </w:r>
      <w:r>
        <w:rPr>
          <w:rFonts w:ascii="Times New Roman" w:hAnsi="Times New Roman" w:cs="Times New Roman"/>
          <w:sz w:val="28"/>
          <w:szCs w:val="24"/>
        </w:rPr>
        <w:t>oggettiva carenza di spazi detentivi (il cui accertamento</w:t>
      </w:r>
      <w:r w:rsidR="008871B1">
        <w:rPr>
          <w:rFonts w:ascii="Times New Roman" w:hAnsi="Times New Roman" w:cs="Times New Roman"/>
          <w:sz w:val="28"/>
          <w:szCs w:val="24"/>
        </w:rPr>
        <w:t xml:space="preserve"> </w:t>
      </w:r>
      <w:r w:rsidR="00217360">
        <w:rPr>
          <w:rFonts w:ascii="Times New Roman" w:hAnsi="Times New Roman" w:cs="Times New Roman"/>
          <w:sz w:val="28"/>
          <w:szCs w:val="24"/>
        </w:rPr>
        <w:t xml:space="preserve">potrebbe essere ricondotto, nella sua forma più essenziale, </w:t>
      </w:r>
      <w:r>
        <w:rPr>
          <w:rFonts w:ascii="Times New Roman" w:hAnsi="Times New Roman" w:cs="Times New Roman"/>
          <w:sz w:val="28"/>
          <w:szCs w:val="24"/>
        </w:rPr>
        <w:t xml:space="preserve">ad una questione di misurazione delle celle e dell’ingombro dei relativi arredi), bensì </w:t>
      </w:r>
      <w:r w:rsidR="00217360">
        <w:rPr>
          <w:rFonts w:ascii="Times New Roman" w:hAnsi="Times New Roman" w:cs="Times New Roman"/>
          <w:sz w:val="28"/>
          <w:szCs w:val="24"/>
        </w:rPr>
        <w:t>s</w:t>
      </w:r>
      <w:r>
        <w:rPr>
          <w:rFonts w:ascii="Times New Roman" w:hAnsi="Times New Roman" w:cs="Times New Roman"/>
          <w:sz w:val="28"/>
          <w:szCs w:val="24"/>
        </w:rPr>
        <w:t xml:space="preserve">i </w:t>
      </w:r>
      <w:r w:rsidR="00217360">
        <w:rPr>
          <w:rFonts w:ascii="Times New Roman" w:hAnsi="Times New Roman" w:cs="Times New Roman"/>
          <w:sz w:val="28"/>
          <w:szCs w:val="24"/>
        </w:rPr>
        <w:t xml:space="preserve">dovrà considerare la </w:t>
      </w:r>
      <w:r w:rsidR="008871B1">
        <w:rPr>
          <w:rFonts w:ascii="Times New Roman" w:hAnsi="Times New Roman" w:cs="Times New Roman"/>
          <w:sz w:val="28"/>
          <w:szCs w:val="24"/>
        </w:rPr>
        <w:t xml:space="preserve">complessiva </w:t>
      </w:r>
      <w:r>
        <w:rPr>
          <w:rFonts w:ascii="Times New Roman" w:hAnsi="Times New Roman" w:cs="Times New Roman"/>
          <w:sz w:val="28"/>
          <w:szCs w:val="24"/>
        </w:rPr>
        <w:t>qualità di un servizio erogato dalla P.A.</w:t>
      </w:r>
      <w:r w:rsidR="001135B3">
        <w:rPr>
          <w:rFonts w:ascii="Times New Roman" w:hAnsi="Times New Roman" w:cs="Times New Roman"/>
          <w:sz w:val="28"/>
          <w:szCs w:val="24"/>
        </w:rPr>
        <w:t xml:space="preserve"> ai soggetti detenuti</w:t>
      </w:r>
      <w:r w:rsidR="000C1931">
        <w:rPr>
          <w:rFonts w:ascii="Times New Roman" w:hAnsi="Times New Roman" w:cs="Times New Roman"/>
          <w:sz w:val="28"/>
          <w:szCs w:val="24"/>
        </w:rPr>
        <w:t>, costituito da livelli minim</w:t>
      </w:r>
      <w:r w:rsidR="008871B1">
        <w:rPr>
          <w:rFonts w:ascii="Times New Roman" w:hAnsi="Times New Roman" w:cs="Times New Roman"/>
          <w:sz w:val="28"/>
          <w:szCs w:val="24"/>
        </w:rPr>
        <w:t>i del trattamento penitenziario</w:t>
      </w:r>
      <w:r w:rsidR="001135B3">
        <w:rPr>
          <w:rFonts w:ascii="Times New Roman" w:hAnsi="Times New Roman" w:cs="Times New Roman"/>
          <w:sz w:val="28"/>
          <w:szCs w:val="24"/>
        </w:rPr>
        <w:t>, la cui parametrazione al rispetto dell’art.3</w:t>
      </w:r>
      <w:r w:rsidR="000C1931">
        <w:rPr>
          <w:rFonts w:ascii="Times New Roman" w:hAnsi="Times New Roman" w:cs="Times New Roman"/>
          <w:sz w:val="28"/>
          <w:szCs w:val="24"/>
        </w:rPr>
        <w:t xml:space="preserve"> CEDU</w:t>
      </w:r>
      <w:r w:rsidR="00217360">
        <w:rPr>
          <w:rFonts w:ascii="Times New Roman" w:hAnsi="Times New Roman" w:cs="Times New Roman"/>
          <w:sz w:val="28"/>
          <w:szCs w:val="24"/>
        </w:rPr>
        <w:t xml:space="preserve">, </w:t>
      </w:r>
      <w:r w:rsidR="001135B3">
        <w:rPr>
          <w:rFonts w:ascii="Times New Roman" w:hAnsi="Times New Roman" w:cs="Times New Roman"/>
          <w:sz w:val="28"/>
          <w:szCs w:val="24"/>
        </w:rPr>
        <w:t>è lasciata</w:t>
      </w:r>
      <w:r w:rsidR="00217360">
        <w:rPr>
          <w:rFonts w:ascii="Times New Roman" w:hAnsi="Times New Roman" w:cs="Times New Roman"/>
          <w:sz w:val="28"/>
          <w:szCs w:val="24"/>
        </w:rPr>
        <w:t xml:space="preserve">, sotto il profilo delle coordinate normative, alla legge di ordinamento penitenziario del 1975 e, sotto quello giudiziale, </w:t>
      </w:r>
      <w:r w:rsidR="001135B3">
        <w:rPr>
          <w:rFonts w:ascii="Times New Roman" w:hAnsi="Times New Roman" w:cs="Times New Roman"/>
          <w:sz w:val="28"/>
          <w:szCs w:val="24"/>
        </w:rPr>
        <w:t>all</w:t>
      </w:r>
      <w:r w:rsidR="00217360">
        <w:rPr>
          <w:rFonts w:ascii="Times New Roman" w:hAnsi="Times New Roman" w:cs="Times New Roman"/>
          <w:sz w:val="28"/>
          <w:szCs w:val="24"/>
        </w:rPr>
        <w:t>’ampi</w:t>
      </w:r>
      <w:r w:rsidR="001135B3">
        <w:rPr>
          <w:rFonts w:ascii="Times New Roman" w:hAnsi="Times New Roman" w:cs="Times New Roman"/>
          <w:sz w:val="28"/>
          <w:szCs w:val="24"/>
        </w:rPr>
        <w:t xml:space="preserve">a valutazione discrezionale </w:t>
      </w:r>
      <w:r w:rsidR="00217360">
        <w:rPr>
          <w:rFonts w:ascii="Times New Roman" w:hAnsi="Times New Roman" w:cs="Times New Roman"/>
          <w:sz w:val="28"/>
          <w:szCs w:val="24"/>
        </w:rPr>
        <w:t xml:space="preserve">effettuata </w:t>
      </w:r>
      <w:r w:rsidR="001135B3">
        <w:rPr>
          <w:rFonts w:ascii="Times New Roman" w:hAnsi="Times New Roman" w:cs="Times New Roman"/>
          <w:sz w:val="28"/>
          <w:szCs w:val="24"/>
        </w:rPr>
        <w:t>d</w:t>
      </w:r>
      <w:r w:rsidR="00217360">
        <w:rPr>
          <w:rFonts w:ascii="Times New Roman" w:hAnsi="Times New Roman" w:cs="Times New Roman"/>
          <w:sz w:val="28"/>
          <w:szCs w:val="24"/>
        </w:rPr>
        <w:t>a</w:t>
      </w:r>
      <w:r w:rsidR="001135B3">
        <w:rPr>
          <w:rFonts w:ascii="Times New Roman" w:hAnsi="Times New Roman" w:cs="Times New Roman"/>
          <w:sz w:val="28"/>
          <w:szCs w:val="24"/>
        </w:rPr>
        <w:t>l giudice</w:t>
      </w:r>
      <w:r w:rsidR="00217360">
        <w:rPr>
          <w:rFonts w:ascii="Times New Roman" w:hAnsi="Times New Roman" w:cs="Times New Roman"/>
          <w:sz w:val="28"/>
          <w:szCs w:val="24"/>
        </w:rPr>
        <w:t xml:space="preserve"> nel caso concreto</w:t>
      </w:r>
      <w:r w:rsidR="000C1931">
        <w:rPr>
          <w:rFonts w:ascii="Times New Roman" w:hAnsi="Times New Roman" w:cs="Times New Roman"/>
          <w:sz w:val="28"/>
          <w:szCs w:val="24"/>
        </w:rPr>
        <w:t xml:space="preserve">. </w:t>
      </w:r>
    </w:p>
    <w:p w:rsidR="00106E05" w:rsidRDefault="00106E05" w:rsidP="008871B1">
      <w:pPr>
        <w:tabs>
          <w:tab w:val="left" w:pos="993"/>
        </w:tabs>
        <w:spacing w:after="120" w:line="240" w:lineRule="auto"/>
        <w:jc w:val="both"/>
        <w:rPr>
          <w:rFonts w:ascii="Times New Roman" w:hAnsi="Times New Roman" w:cs="Times New Roman"/>
          <w:sz w:val="28"/>
          <w:szCs w:val="24"/>
        </w:rPr>
      </w:pPr>
    </w:p>
    <w:p w:rsidR="0017635F" w:rsidRPr="0024196F" w:rsidRDefault="0017635F" w:rsidP="0017635F">
      <w:pPr>
        <w:spacing w:after="0" w:line="240" w:lineRule="auto"/>
        <w:ind w:firstLine="360"/>
        <w:jc w:val="both"/>
        <w:rPr>
          <w:rFonts w:ascii="Times New Roman" w:hAnsi="Times New Roman" w:cs="Times New Roman"/>
          <w:sz w:val="28"/>
          <w:szCs w:val="24"/>
        </w:rPr>
      </w:pPr>
      <w:bookmarkStart w:id="0" w:name="_GoBack"/>
      <w:bookmarkEnd w:id="0"/>
    </w:p>
    <w:sectPr w:rsidR="0017635F" w:rsidRPr="0024196F" w:rsidSect="00AE5577">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879" w:rsidRDefault="004A6879" w:rsidP="008D341C">
      <w:pPr>
        <w:spacing w:after="0" w:line="240" w:lineRule="auto"/>
      </w:pPr>
      <w:r>
        <w:separator/>
      </w:r>
    </w:p>
  </w:endnote>
  <w:endnote w:type="continuationSeparator" w:id="0">
    <w:p w:rsidR="004A6879" w:rsidRDefault="004A6879" w:rsidP="008D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Std">
    <w:altName w:val="Futura Std"/>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4129"/>
      <w:docPartObj>
        <w:docPartGallery w:val="Page Numbers (Bottom of Page)"/>
        <w:docPartUnique/>
      </w:docPartObj>
    </w:sdtPr>
    <w:sdtEndPr/>
    <w:sdtContent>
      <w:p w:rsidR="000C1931" w:rsidRDefault="000C1931">
        <w:pPr>
          <w:pStyle w:val="Pidipagina"/>
          <w:jc w:val="right"/>
        </w:pPr>
        <w:r>
          <w:fldChar w:fldCharType="begin"/>
        </w:r>
        <w:r>
          <w:instrText xml:space="preserve"> PAGE   \* MERGEFORMAT </w:instrText>
        </w:r>
        <w:r>
          <w:fldChar w:fldCharType="separate"/>
        </w:r>
        <w:r w:rsidR="005C0E67">
          <w:rPr>
            <w:noProof/>
          </w:rPr>
          <w:t>5</w:t>
        </w:r>
        <w:r>
          <w:rPr>
            <w:noProof/>
          </w:rPr>
          <w:fldChar w:fldCharType="end"/>
        </w:r>
      </w:p>
    </w:sdtContent>
  </w:sdt>
  <w:p w:rsidR="000C1931" w:rsidRDefault="000C193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879" w:rsidRDefault="004A6879" w:rsidP="008D341C">
      <w:pPr>
        <w:spacing w:after="0" w:line="240" w:lineRule="auto"/>
      </w:pPr>
      <w:r>
        <w:separator/>
      </w:r>
    </w:p>
  </w:footnote>
  <w:footnote w:type="continuationSeparator" w:id="0">
    <w:p w:rsidR="004A6879" w:rsidRDefault="004A6879" w:rsidP="008D3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0551"/>
    <w:multiLevelType w:val="hybridMultilevel"/>
    <w:tmpl w:val="5ECC0D5C"/>
    <w:lvl w:ilvl="0" w:tplc="0DDC0DC4">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
    <w:nsid w:val="0CDC776B"/>
    <w:multiLevelType w:val="hybridMultilevel"/>
    <w:tmpl w:val="3A789A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E61942"/>
    <w:multiLevelType w:val="hybridMultilevel"/>
    <w:tmpl w:val="CB7AA1F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BE7573"/>
    <w:multiLevelType w:val="hybridMultilevel"/>
    <w:tmpl w:val="F9283C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4D1AE8"/>
    <w:multiLevelType w:val="hybridMultilevel"/>
    <w:tmpl w:val="0A06CA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88B51FD"/>
    <w:multiLevelType w:val="hybridMultilevel"/>
    <w:tmpl w:val="72EA0434"/>
    <w:lvl w:ilvl="0" w:tplc="E14830B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C55D67"/>
    <w:multiLevelType w:val="hybridMultilevel"/>
    <w:tmpl w:val="7DE2C10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04018E"/>
    <w:multiLevelType w:val="hybridMultilevel"/>
    <w:tmpl w:val="1F02D2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E46EC2"/>
    <w:multiLevelType w:val="hybridMultilevel"/>
    <w:tmpl w:val="11CE57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7E924FC"/>
    <w:multiLevelType w:val="hybridMultilevel"/>
    <w:tmpl w:val="25CED132"/>
    <w:lvl w:ilvl="0" w:tplc="572A4AE8">
      <w:start w:val="35"/>
      <w:numFmt w:val="bullet"/>
      <w:lvlText w:val="-"/>
      <w:lvlJc w:val="left"/>
      <w:pPr>
        <w:ind w:left="1211" w:hanging="360"/>
      </w:pPr>
      <w:rPr>
        <w:rFonts w:ascii="Calibri" w:eastAsiaTheme="minorHAnsi" w:hAnsi="Calibri" w:cs="Calibr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0">
    <w:nsid w:val="3B764CF7"/>
    <w:multiLevelType w:val="hybridMultilevel"/>
    <w:tmpl w:val="DEAAAA2A"/>
    <w:lvl w:ilvl="0" w:tplc="4052FE06">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3FCC345E"/>
    <w:multiLevelType w:val="hybridMultilevel"/>
    <w:tmpl w:val="39945F40"/>
    <w:lvl w:ilvl="0" w:tplc="4CFCDA02">
      <w:start w:val="1"/>
      <w:numFmt w:val="decimal"/>
      <w:lvlText w:val="%1."/>
      <w:lvlJc w:val="left"/>
      <w:pPr>
        <w:ind w:left="5747" w:hanging="360"/>
      </w:pPr>
      <w:rPr>
        <w:rFonts w:hint="default"/>
      </w:rPr>
    </w:lvl>
    <w:lvl w:ilvl="1" w:tplc="04100019" w:tentative="1">
      <w:start w:val="1"/>
      <w:numFmt w:val="lowerLetter"/>
      <w:lvlText w:val="%2."/>
      <w:lvlJc w:val="left"/>
      <w:pPr>
        <w:ind w:left="6467" w:hanging="360"/>
      </w:pPr>
    </w:lvl>
    <w:lvl w:ilvl="2" w:tplc="0410001B" w:tentative="1">
      <w:start w:val="1"/>
      <w:numFmt w:val="lowerRoman"/>
      <w:lvlText w:val="%3."/>
      <w:lvlJc w:val="right"/>
      <w:pPr>
        <w:ind w:left="7187" w:hanging="180"/>
      </w:pPr>
    </w:lvl>
    <w:lvl w:ilvl="3" w:tplc="0410000F" w:tentative="1">
      <w:start w:val="1"/>
      <w:numFmt w:val="decimal"/>
      <w:lvlText w:val="%4."/>
      <w:lvlJc w:val="left"/>
      <w:pPr>
        <w:ind w:left="7907" w:hanging="360"/>
      </w:pPr>
    </w:lvl>
    <w:lvl w:ilvl="4" w:tplc="04100019" w:tentative="1">
      <w:start w:val="1"/>
      <w:numFmt w:val="lowerLetter"/>
      <w:lvlText w:val="%5."/>
      <w:lvlJc w:val="left"/>
      <w:pPr>
        <w:ind w:left="8627" w:hanging="360"/>
      </w:pPr>
    </w:lvl>
    <w:lvl w:ilvl="5" w:tplc="0410001B" w:tentative="1">
      <w:start w:val="1"/>
      <w:numFmt w:val="lowerRoman"/>
      <w:lvlText w:val="%6."/>
      <w:lvlJc w:val="right"/>
      <w:pPr>
        <w:ind w:left="9347" w:hanging="180"/>
      </w:pPr>
    </w:lvl>
    <w:lvl w:ilvl="6" w:tplc="0410000F" w:tentative="1">
      <w:start w:val="1"/>
      <w:numFmt w:val="decimal"/>
      <w:lvlText w:val="%7."/>
      <w:lvlJc w:val="left"/>
      <w:pPr>
        <w:ind w:left="10067" w:hanging="360"/>
      </w:pPr>
    </w:lvl>
    <w:lvl w:ilvl="7" w:tplc="04100019" w:tentative="1">
      <w:start w:val="1"/>
      <w:numFmt w:val="lowerLetter"/>
      <w:lvlText w:val="%8."/>
      <w:lvlJc w:val="left"/>
      <w:pPr>
        <w:ind w:left="10787" w:hanging="360"/>
      </w:pPr>
    </w:lvl>
    <w:lvl w:ilvl="8" w:tplc="0410001B" w:tentative="1">
      <w:start w:val="1"/>
      <w:numFmt w:val="lowerRoman"/>
      <w:lvlText w:val="%9."/>
      <w:lvlJc w:val="right"/>
      <w:pPr>
        <w:ind w:left="11507" w:hanging="180"/>
      </w:pPr>
    </w:lvl>
  </w:abstractNum>
  <w:abstractNum w:abstractNumId="12">
    <w:nsid w:val="41CF73C8"/>
    <w:multiLevelType w:val="hybridMultilevel"/>
    <w:tmpl w:val="E96432E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F430DAD"/>
    <w:multiLevelType w:val="hybridMultilevel"/>
    <w:tmpl w:val="989621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69024D9"/>
    <w:multiLevelType w:val="hybridMultilevel"/>
    <w:tmpl w:val="DEFE55E6"/>
    <w:lvl w:ilvl="0" w:tplc="D8BAF19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nsid w:val="5BB334C7"/>
    <w:multiLevelType w:val="hybridMultilevel"/>
    <w:tmpl w:val="06ECD6DA"/>
    <w:lvl w:ilvl="0" w:tplc="FEC45146">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BB6A09"/>
    <w:multiLevelType w:val="hybridMultilevel"/>
    <w:tmpl w:val="E280D012"/>
    <w:lvl w:ilvl="0" w:tplc="C844805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2D06745"/>
    <w:multiLevelType w:val="hybridMultilevel"/>
    <w:tmpl w:val="6C963DB2"/>
    <w:lvl w:ilvl="0" w:tplc="4AC28B7E">
      <w:start w:val="1"/>
      <w:numFmt w:val="decimal"/>
      <w:lvlText w:val="%1."/>
      <w:lvlJc w:val="left"/>
      <w:pPr>
        <w:ind w:left="1211"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FD4492"/>
    <w:multiLevelType w:val="hybridMultilevel"/>
    <w:tmpl w:val="1DAA66D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5"/>
  </w:num>
  <w:num w:numId="3">
    <w:abstractNumId w:val="15"/>
  </w:num>
  <w:num w:numId="4">
    <w:abstractNumId w:val="18"/>
  </w:num>
  <w:num w:numId="5">
    <w:abstractNumId w:val="9"/>
  </w:num>
  <w:num w:numId="6">
    <w:abstractNumId w:val="16"/>
  </w:num>
  <w:num w:numId="7">
    <w:abstractNumId w:val="12"/>
  </w:num>
  <w:num w:numId="8">
    <w:abstractNumId w:val="11"/>
  </w:num>
  <w:num w:numId="9">
    <w:abstractNumId w:val="1"/>
  </w:num>
  <w:num w:numId="10">
    <w:abstractNumId w:val="7"/>
  </w:num>
  <w:num w:numId="11">
    <w:abstractNumId w:val="2"/>
  </w:num>
  <w:num w:numId="12">
    <w:abstractNumId w:val="8"/>
  </w:num>
  <w:num w:numId="13">
    <w:abstractNumId w:val="4"/>
  </w:num>
  <w:num w:numId="14">
    <w:abstractNumId w:val="6"/>
  </w:num>
  <w:num w:numId="15">
    <w:abstractNumId w:val="3"/>
  </w:num>
  <w:num w:numId="16">
    <w:abstractNumId w:val="10"/>
  </w:num>
  <w:num w:numId="17">
    <w:abstractNumId w:val="13"/>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901003"/>
    <w:rsid w:val="0000017F"/>
    <w:rsid w:val="000033FD"/>
    <w:rsid w:val="00005FFE"/>
    <w:rsid w:val="00007677"/>
    <w:rsid w:val="00010089"/>
    <w:rsid w:val="00013551"/>
    <w:rsid w:val="000152BC"/>
    <w:rsid w:val="00017A23"/>
    <w:rsid w:val="00017DE8"/>
    <w:rsid w:val="00042505"/>
    <w:rsid w:val="000454D1"/>
    <w:rsid w:val="000533CD"/>
    <w:rsid w:val="00072D94"/>
    <w:rsid w:val="00083C94"/>
    <w:rsid w:val="00084BB9"/>
    <w:rsid w:val="00087C35"/>
    <w:rsid w:val="00094990"/>
    <w:rsid w:val="000B5DDA"/>
    <w:rsid w:val="000B6BB6"/>
    <w:rsid w:val="000C00B6"/>
    <w:rsid w:val="000C1931"/>
    <w:rsid w:val="000C1F49"/>
    <w:rsid w:val="000C5498"/>
    <w:rsid w:val="000D3E08"/>
    <w:rsid w:val="000D7B42"/>
    <w:rsid w:val="000E194B"/>
    <w:rsid w:val="000F735D"/>
    <w:rsid w:val="00106E05"/>
    <w:rsid w:val="001135B3"/>
    <w:rsid w:val="00115C23"/>
    <w:rsid w:val="00132B28"/>
    <w:rsid w:val="00133529"/>
    <w:rsid w:val="0014164D"/>
    <w:rsid w:val="00141CF5"/>
    <w:rsid w:val="00143AF8"/>
    <w:rsid w:val="00146E01"/>
    <w:rsid w:val="00152A3E"/>
    <w:rsid w:val="001532D3"/>
    <w:rsid w:val="00153E4D"/>
    <w:rsid w:val="00154396"/>
    <w:rsid w:val="0015466A"/>
    <w:rsid w:val="001647D1"/>
    <w:rsid w:val="00171FBD"/>
    <w:rsid w:val="00174E0A"/>
    <w:rsid w:val="0017635F"/>
    <w:rsid w:val="00177B8F"/>
    <w:rsid w:val="00182A60"/>
    <w:rsid w:val="00187677"/>
    <w:rsid w:val="001A4755"/>
    <w:rsid w:val="001A6E9F"/>
    <w:rsid w:val="001C075B"/>
    <w:rsid w:val="001C334A"/>
    <w:rsid w:val="001C62E6"/>
    <w:rsid w:val="001D064A"/>
    <w:rsid w:val="001D38E7"/>
    <w:rsid w:val="001D6FA4"/>
    <w:rsid w:val="001F3F28"/>
    <w:rsid w:val="001F50EF"/>
    <w:rsid w:val="001F6EC4"/>
    <w:rsid w:val="002034E4"/>
    <w:rsid w:val="00204E2B"/>
    <w:rsid w:val="002055D9"/>
    <w:rsid w:val="002066E7"/>
    <w:rsid w:val="00207455"/>
    <w:rsid w:val="00213174"/>
    <w:rsid w:val="00217360"/>
    <w:rsid w:val="0024196F"/>
    <w:rsid w:val="002435CC"/>
    <w:rsid w:val="0024777F"/>
    <w:rsid w:val="002526FF"/>
    <w:rsid w:val="00256EA6"/>
    <w:rsid w:val="0026032C"/>
    <w:rsid w:val="0027736F"/>
    <w:rsid w:val="00287A28"/>
    <w:rsid w:val="002A33E4"/>
    <w:rsid w:val="002C4162"/>
    <w:rsid w:val="002C70D2"/>
    <w:rsid w:val="002E30B3"/>
    <w:rsid w:val="002E3A04"/>
    <w:rsid w:val="002E3A8D"/>
    <w:rsid w:val="002E40B1"/>
    <w:rsid w:val="002E43ED"/>
    <w:rsid w:val="002E6D73"/>
    <w:rsid w:val="002F3CAB"/>
    <w:rsid w:val="002F3F60"/>
    <w:rsid w:val="002F5243"/>
    <w:rsid w:val="002F7458"/>
    <w:rsid w:val="003007E3"/>
    <w:rsid w:val="00301C1C"/>
    <w:rsid w:val="00305E5C"/>
    <w:rsid w:val="00306A07"/>
    <w:rsid w:val="0031074D"/>
    <w:rsid w:val="00325F2B"/>
    <w:rsid w:val="00333AE9"/>
    <w:rsid w:val="003345B7"/>
    <w:rsid w:val="0033544E"/>
    <w:rsid w:val="00343B3F"/>
    <w:rsid w:val="00360854"/>
    <w:rsid w:val="00360941"/>
    <w:rsid w:val="00365D0B"/>
    <w:rsid w:val="00370A6A"/>
    <w:rsid w:val="0038568E"/>
    <w:rsid w:val="003861E9"/>
    <w:rsid w:val="003900EC"/>
    <w:rsid w:val="00390348"/>
    <w:rsid w:val="00395CE6"/>
    <w:rsid w:val="003A18F6"/>
    <w:rsid w:val="003A5CFE"/>
    <w:rsid w:val="003A6382"/>
    <w:rsid w:val="003B0905"/>
    <w:rsid w:val="003B43C3"/>
    <w:rsid w:val="003C019A"/>
    <w:rsid w:val="003D25DE"/>
    <w:rsid w:val="003E0C2A"/>
    <w:rsid w:val="00403799"/>
    <w:rsid w:val="00404282"/>
    <w:rsid w:val="0040739F"/>
    <w:rsid w:val="0040765B"/>
    <w:rsid w:val="00410860"/>
    <w:rsid w:val="004131DD"/>
    <w:rsid w:val="00415A9D"/>
    <w:rsid w:val="00434D4C"/>
    <w:rsid w:val="004362B2"/>
    <w:rsid w:val="00456632"/>
    <w:rsid w:val="004676CD"/>
    <w:rsid w:val="00471D9D"/>
    <w:rsid w:val="00484AB4"/>
    <w:rsid w:val="004A6781"/>
    <w:rsid w:val="004A6879"/>
    <w:rsid w:val="004B6FE9"/>
    <w:rsid w:val="004C2089"/>
    <w:rsid w:val="004C70AE"/>
    <w:rsid w:val="004D1ABE"/>
    <w:rsid w:val="004D2A93"/>
    <w:rsid w:val="004F1749"/>
    <w:rsid w:val="0050395C"/>
    <w:rsid w:val="00514874"/>
    <w:rsid w:val="00523605"/>
    <w:rsid w:val="0054034A"/>
    <w:rsid w:val="00542342"/>
    <w:rsid w:val="00542C5D"/>
    <w:rsid w:val="005431FD"/>
    <w:rsid w:val="005554A1"/>
    <w:rsid w:val="00562B22"/>
    <w:rsid w:val="00563702"/>
    <w:rsid w:val="00567B83"/>
    <w:rsid w:val="00572778"/>
    <w:rsid w:val="00574006"/>
    <w:rsid w:val="005847D1"/>
    <w:rsid w:val="00584D34"/>
    <w:rsid w:val="00585B2C"/>
    <w:rsid w:val="00590D15"/>
    <w:rsid w:val="0059178D"/>
    <w:rsid w:val="00594632"/>
    <w:rsid w:val="005A46A1"/>
    <w:rsid w:val="005A5E92"/>
    <w:rsid w:val="005A6814"/>
    <w:rsid w:val="005B2B15"/>
    <w:rsid w:val="005C0E67"/>
    <w:rsid w:val="005C40C3"/>
    <w:rsid w:val="005C4E1B"/>
    <w:rsid w:val="005C592E"/>
    <w:rsid w:val="005E5B66"/>
    <w:rsid w:val="005F5892"/>
    <w:rsid w:val="00602A9F"/>
    <w:rsid w:val="00606DE3"/>
    <w:rsid w:val="00614FF2"/>
    <w:rsid w:val="006249C7"/>
    <w:rsid w:val="00630177"/>
    <w:rsid w:val="00637E32"/>
    <w:rsid w:val="00667BF4"/>
    <w:rsid w:val="0067257F"/>
    <w:rsid w:val="00677AED"/>
    <w:rsid w:val="00686138"/>
    <w:rsid w:val="006951FF"/>
    <w:rsid w:val="006A1481"/>
    <w:rsid w:val="006A20C3"/>
    <w:rsid w:val="006B06A5"/>
    <w:rsid w:val="006B6555"/>
    <w:rsid w:val="006C0A0B"/>
    <w:rsid w:val="006C388F"/>
    <w:rsid w:val="006C4605"/>
    <w:rsid w:val="006D3505"/>
    <w:rsid w:val="006D71C0"/>
    <w:rsid w:val="006E6E45"/>
    <w:rsid w:val="006E71DA"/>
    <w:rsid w:val="006E7BC2"/>
    <w:rsid w:val="00700347"/>
    <w:rsid w:val="0071226D"/>
    <w:rsid w:val="00725131"/>
    <w:rsid w:val="007313A9"/>
    <w:rsid w:val="007326F9"/>
    <w:rsid w:val="00744A3B"/>
    <w:rsid w:val="00744BDA"/>
    <w:rsid w:val="007511BA"/>
    <w:rsid w:val="007548D5"/>
    <w:rsid w:val="007561CB"/>
    <w:rsid w:val="00756B8E"/>
    <w:rsid w:val="00771A7D"/>
    <w:rsid w:val="00772D68"/>
    <w:rsid w:val="00791D6B"/>
    <w:rsid w:val="00794482"/>
    <w:rsid w:val="00794969"/>
    <w:rsid w:val="007A2B13"/>
    <w:rsid w:val="007A7DB8"/>
    <w:rsid w:val="007B3FFC"/>
    <w:rsid w:val="007C0CB0"/>
    <w:rsid w:val="007C1D7D"/>
    <w:rsid w:val="007C5703"/>
    <w:rsid w:val="007D04DE"/>
    <w:rsid w:val="007D1D02"/>
    <w:rsid w:val="007D2FA4"/>
    <w:rsid w:val="007D358B"/>
    <w:rsid w:val="007D378E"/>
    <w:rsid w:val="007D3D5F"/>
    <w:rsid w:val="007D657B"/>
    <w:rsid w:val="007E0A82"/>
    <w:rsid w:val="00802AE1"/>
    <w:rsid w:val="00803B7E"/>
    <w:rsid w:val="008065DD"/>
    <w:rsid w:val="008069FB"/>
    <w:rsid w:val="00810AC3"/>
    <w:rsid w:val="00810DD9"/>
    <w:rsid w:val="0082360B"/>
    <w:rsid w:val="00825FAB"/>
    <w:rsid w:val="00830912"/>
    <w:rsid w:val="008379A7"/>
    <w:rsid w:val="00847EF3"/>
    <w:rsid w:val="008708EC"/>
    <w:rsid w:val="00873FF4"/>
    <w:rsid w:val="0087467F"/>
    <w:rsid w:val="008765AD"/>
    <w:rsid w:val="00881152"/>
    <w:rsid w:val="008871B1"/>
    <w:rsid w:val="00887994"/>
    <w:rsid w:val="00890332"/>
    <w:rsid w:val="00891AC9"/>
    <w:rsid w:val="00897AAA"/>
    <w:rsid w:val="008A69F9"/>
    <w:rsid w:val="008A7FE9"/>
    <w:rsid w:val="008C17BE"/>
    <w:rsid w:val="008D19E9"/>
    <w:rsid w:val="008D1A6A"/>
    <w:rsid w:val="008D341C"/>
    <w:rsid w:val="008E5164"/>
    <w:rsid w:val="008F16B5"/>
    <w:rsid w:val="00901003"/>
    <w:rsid w:val="00923026"/>
    <w:rsid w:val="00930A00"/>
    <w:rsid w:val="009336EA"/>
    <w:rsid w:val="00937305"/>
    <w:rsid w:val="009408C1"/>
    <w:rsid w:val="00940EC3"/>
    <w:rsid w:val="009530F7"/>
    <w:rsid w:val="009604EA"/>
    <w:rsid w:val="00981D1A"/>
    <w:rsid w:val="009A2C64"/>
    <w:rsid w:val="009A3A71"/>
    <w:rsid w:val="009A7ED8"/>
    <w:rsid w:val="009B2191"/>
    <w:rsid w:val="009B3573"/>
    <w:rsid w:val="009E0852"/>
    <w:rsid w:val="009F3C86"/>
    <w:rsid w:val="00A026D9"/>
    <w:rsid w:val="00A03A3A"/>
    <w:rsid w:val="00A057F1"/>
    <w:rsid w:val="00A06438"/>
    <w:rsid w:val="00A16B20"/>
    <w:rsid w:val="00A33F69"/>
    <w:rsid w:val="00A34E12"/>
    <w:rsid w:val="00A378CD"/>
    <w:rsid w:val="00A404BA"/>
    <w:rsid w:val="00A41C64"/>
    <w:rsid w:val="00A44E1F"/>
    <w:rsid w:val="00A47482"/>
    <w:rsid w:val="00A57111"/>
    <w:rsid w:val="00A61AF0"/>
    <w:rsid w:val="00A77D04"/>
    <w:rsid w:val="00A83929"/>
    <w:rsid w:val="00A83993"/>
    <w:rsid w:val="00A8541F"/>
    <w:rsid w:val="00A93DA2"/>
    <w:rsid w:val="00AA108F"/>
    <w:rsid w:val="00AA2E60"/>
    <w:rsid w:val="00AA6E8D"/>
    <w:rsid w:val="00AA6F62"/>
    <w:rsid w:val="00AB1E87"/>
    <w:rsid w:val="00AC63FE"/>
    <w:rsid w:val="00AC76F4"/>
    <w:rsid w:val="00AD03DF"/>
    <w:rsid w:val="00AD4ED3"/>
    <w:rsid w:val="00AD79ED"/>
    <w:rsid w:val="00AE488D"/>
    <w:rsid w:val="00AE5577"/>
    <w:rsid w:val="00AF22E4"/>
    <w:rsid w:val="00AF3C3A"/>
    <w:rsid w:val="00AF6101"/>
    <w:rsid w:val="00B05E34"/>
    <w:rsid w:val="00B143BA"/>
    <w:rsid w:val="00B21B0B"/>
    <w:rsid w:val="00B21B52"/>
    <w:rsid w:val="00B22095"/>
    <w:rsid w:val="00B245A5"/>
    <w:rsid w:val="00B410C0"/>
    <w:rsid w:val="00B437F4"/>
    <w:rsid w:val="00B44173"/>
    <w:rsid w:val="00B468CC"/>
    <w:rsid w:val="00B54EF2"/>
    <w:rsid w:val="00B60A59"/>
    <w:rsid w:val="00B66B04"/>
    <w:rsid w:val="00B742C9"/>
    <w:rsid w:val="00B746DB"/>
    <w:rsid w:val="00B7685C"/>
    <w:rsid w:val="00B83739"/>
    <w:rsid w:val="00B954EB"/>
    <w:rsid w:val="00B9570A"/>
    <w:rsid w:val="00BA0C1A"/>
    <w:rsid w:val="00BA573F"/>
    <w:rsid w:val="00BB5118"/>
    <w:rsid w:val="00BC364A"/>
    <w:rsid w:val="00BC6174"/>
    <w:rsid w:val="00BF27D9"/>
    <w:rsid w:val="00BF72D5"/>
    <w:rsid w:val="00C16348"/>
    <w:rsid w:val="00C23CBD"/>
    <w:rsid w:val="00C2408E"/>
    <w:rsid w:val="00C26D29"/>
    <w:rsid w:val="00C34233"/>
    <w:rsid w:val="00C3644F"/>
    <w:rsid w:val="00C3650E"/>
    <w:rsid w:val="00C42A30"/>
    <w:rsid w:val="00C5094C"/>
    <w:rsid w:val="00C51721"/>
    <w:rsid w:val="00C53CAE"/>
    <w:rsid w:val="00C66191"/>
    <w:rsid w:val="00C6645D"/>
    <w:rsid w:val="00C7139E"/>
    <w:rsid w:val="00C74274"/>
    <w:rsid w:val="00C83AE9"/>
    <w:rsid w:val="00C968DA"/>
    <w:rsid w:val="00CA3B0D"/>
    <w:rsid w:val="00CA7E85"/>
    <w:rsid w:val="00CB080D"/>
    <w:rsid w:val="00CB43D3"/>
    <w:rsid w:val="00CC78C9"/>
    <w:rsid w:val="00CD0E49"/>
    <w:rsid w:val="00CD15E7"/>
    <w:rsid w:val="00CD3F8B"/>
    <w:rsid w:val="00CF14F5"/>
    <w:rsid w:val="00D12046"/>
    <w:rsid w:val="00D13ADD"/>
    <w:rsid w:val="00D20EE5"/>
    <w:rsid w:val="00D23C91"/>
    <w:rsid w:val="00D30E3E"/>
    <w:rsid w:val="00D363D9"/>
    <w:rsid w:val="00D36E4B"/>
    <w:rsid w:val="00D5554C"/>
    <w:rsid w:val="00D602FC"/>
    <w:rsid w:val="00D6073F"/>
    <w:rsid w:val="00D6694C"/>
    <w:rsid w:val="00D71184"/>
    <w:rsid w:val="00D774A3"/>
    <w:rsid w:val="00D8371F"/>
    <w:rsid w:val="00D84119"/>
    <w:rsid w:val="00D9522E"/>
    <w:rsid w:val="00D95747"/>
    <w:rsid w:val="00D95E43"/>
    <w:rsid w:val="00DA00B2"/>
    <w:rsid w:val="00DA128A"/>
    <w:rsid w:val="00DA3E09"/>
    <w:rsid w:val="00DB63C0"/>
    <w:rsid w:val="00DC09DE"/>
    <w:rsid w:val="00DD2678"/>
    <w:rsid w:val="00DE2B0B"/>
    <w:rsid w:val="00DE4E8A"/>
    <w:rsid w:val="00DE6A35"/>
    <w:rsid w:val="00DE6A91"/>
    <w:rsid w:val="00DE711D"/>
    <w:rsid w:val="00DE76AD"/>
    <w:rsid w:val="00DF4C07"/>
    <w:rsid w:val="00DF73C0"/>
    <w:rsid w:val="00E1283C"/>
    <w:rsid w:val="00E1565A"/>
    <w:rsid w:val="00E22D73"/>
    <w:rsid w:val="00E2661E"/>
    <w:rsid w:val="00E2745D"/>
    <w:rsid w:val="00E35561"/>
    <w:rsid w:val="00E43610"/>
    <w:rsid w:val="00E52F49"/>
    <w:rsid w:val="00E65882"/>
    <w:rsid w:val="00E67AEE"/>
    <w:rsid w:val="00E71E91"/>
    <w:rsid w:val="00E821A8"/>
    <w:rsid w:val="00E83F0F"/>
    <w:rsid w:val="00E86820"/>
    <w:rsid w:val="00E87060"/>
    <w:rsid w:val="00EA01E3"/>
    <w:rsid w:val="00EC2C3F"/>
    <w:rsid w:val="00EC6694"/>
    <w:rsid w:val="00ED3616"/>
    <w:rsid w:val="00EE53D7"/>
    <w:rsid w:val="00EF0273"/>
    <w:rsid w:val="00F041C6"/>
    <w:rsid w:val="00F070C9"/>
    <w:rsid w:val="00F10AC6"/>
    <w:rsid w:val="00F13222"/>
    <w:rsid w:val="00F20C10"/>
    <w:rsid w:val="00F23799"/>
    <w:rsid w:val="00F242E8"/>
    <w:rsid w:val="00F26C61"/>
    <w:rsid w:val="00F32C88"/>
    <w:rsid w:val="00F33C5E"/>
    <w:rsid w:val="00F37731"/>
    <w:rsid w:val="00F4076B"/>
    <w:rsid w:val="00F42B6A"/>
    <w:rsid w:val="00F43EE4"/>
    <w:rsid w:val="00F44355"/>
    <w:rsid w:val="00F45C39"/>
    <w:rsid w:val="00F60A88"/>
    <w:rsid w:val="00F66F07"/>
    <w:rsid w:val="00F71FF3"/>
    <w:rsid w:val="00F7234E"/>
    <w:rsid w:val="00F86381"/>
    <w:rsid w:val="00F919BB"/>
    <w:rsid w:val="00F94345"/>
    <w:rsid w:val="00F97F23"/>
    <w:rsid w:val="00FA5040"/>
    <w:rsid w:val="00FB037F"/>
    <w:rsid w:val="00FB743C"/>
    <w:rsid w:val="00FC2B45"/>
    <w:rsid w:val="00FC4E5F"/>
    <w:rsid w:val="00FD3CA3"/>
    <w:rsid w:val="00FD5553"/>
    <w:rsid w:val="00FD7D57"/>
    <w:rsid w:val="00FE234D"/>
    <w:rsid w:val="00FF013A"/>
    <w:rsid w:val="00FF06BC"/>
    <w:rsid w:val="00FF0D3E"/>
    <w:rsid w:val="00FF4E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78076-1EFB-4DE3-BCEF-A5214B80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55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7EF3"/>
    <w:pPr>
      <w:ind w:left="720"/>
      <w:contextualSpacing/>
    </w:pPr>
  </w:style>
  <w:style w:type="paragraph" w:styleId="Intestazione">
    <w:name w:val="header"/>
    <w:basedOn w:val="Normale"/>
    <w:link w:val="IntestazioneCarattere"/>
    <w:uiPriority w:val="99"/>
    <w:unhideWhenUsed/>
    <w:rsid w:val="008D34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341C"/>
  </w:style>
  <w:style w:type="paragraph" w:styleId="Pidipagina">
    <w:name w:val="footer"/>
    <w:basedOn w:val="Normale"/>
    <w:link w:val="PidipaginaCarattere"/>
    <w:uiPriority w:val="99"/>
    <w:unhideWhenUsed/>
    <w:rsid w:val="008D34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341C"/>
  </w:style>
  <w:style w:type="paragraph" w:customStyle="1" w:styleId="Default">
    <w:name w:val="Default"/>
    <w:rsid w:val="0017635F"/>
    <w:pPr>
      <w:autoSpaceDE w:val="0"/>
      <w:autoSpaceDN w:val="0"/>
      <w:adjustRightInd w:val="0"/>
      <w:spacing w:after="0" w:line="240" w:lineRule="auto"/>
    </w:pPr>
    <w:rPr>
      <w:rFonts w:ascii="Futura Std" w:hAnsi="Futura Std" w:cs="Futura Std"/>
      <w:color w:val="000000"/>
      <w:sz w:val="24"/>
      <w:szCs w:val="24"/>
    </w:rPr>
  </w:style>
  <w:style w:type="paragraph" w:styleId="Testonotaapidipagina">
    <w:name w:val="footnote text"/>
    <w:basedOn w:val="Normale"/>
    <w:link w:val="TestonotaapidipaginaCarattere"/>
    <w:uiPriority w:val="99"/>
    <w:semiHidden/>
    <w:unhideWhenUsed/>
    <w:rsid w:val="0017635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7635F"/>
    <w:rPr>
      <w:sz w:val="20"/>
      <w:szCs w:val="20"/>
    </w:rPr>
  </w:style>
  <w:style w:type="character" w:styleId="Rimandonotaapidipagina">
    <w:name w:val="footnote reference"/>
    <w:basedOn w:val="Carpredefinitoparagrafo"/>
    <w:uiPriority w:val="99"/>
    <w:semiHidden/>
    <w:unhideWhenUsed/>
    <w:rsid w:val="0017635F"/>
    <w:rPr>
      <w:vertAlign w:val="superscript"/>
    </w:rPr>
  </w:style>
  <w:style w:type="character" w:styleId="Collegamentoipertestuale">
    <w:name w:val="Hyperlink"/>
    <w:basedOn w:val="Carpredefinitoparagrafo"/>
    <w:uiPriority w:val="99"/>
    <w:unhideWhenUsed/>
    <w:rsid w:val="0017635F"/>
    <w:rPr>
      <w:color w:val="0000FF" w:themeColor="hyperlink"/>
      <w:u w:val="single"/>
    </w:rPr>
  </w:style>
  <w:style w:type="paragraph" w:styleId="NormaleWeb">
    <w:name w:val="Normal (Web)"/>
    <w:basedOn w:val="Normale"/>
    <w:uiPriority w:val="99"/>
    <w:rsid w:val="0079496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94969"/>
    <w:rPr>
      <w:b/>
      <w:bCs/>
    </w:rPr>
  </w:style>
  <w:style w:type="paragraph" w:styleId="PreformattatoHTML">
    <w:name w:val="HTML Preformatted"/>
    <w:basedOn w:val="Normale"/>
    <w:link w:val="PreformattatoHTMLCarattere"/>
    <w:semiHidden/>
    <w:unhideWhenUsed/>
    <w:rsid w:val="009B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PreformattatoHTMLCarattere">
    <w:name w:val="Preformattato HTML Carattere"/>
    <w:basedOn w:val="Carpredefinitoparagrafo"/>
    <w:link w:val="PreformattatoHTML"/>
    <w:semiHidden/>
    <w:rsid w:val="009B2191"/>
    <w:rPr>
      <w:rFonts w:ascii="Courier New" w:eastAsia="Times New Roman" w:hAnsi="Courier New" w:cs="Times New Roman"/>
      <w:sz w:val="20"/>
      <w:szCs w:val="20"/>
      <w:lang w:val="x-none" w:eastAsia="x-none"/>
    </w:rPr>
  </w:style>
  <w:style w:type="character" w:styleId="Enfasicorsivo">
    <w:name w:val="Emphasis"/>
    <w:basedOn w:val="Carpredefinitoparagrafo"/>
    <w:uiPriority w:val="20"/>
    <w:qFormat/>
    <w:rsid w:val="00CB43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alecontemporaneo.it/materia/-/-/-/3523-da_roma_a_bruxelles__la_corte_edu_applica_i_principi_della_sentenza_torreggiani_anche_alle_condizioni_di_detenzione_in_belgi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DFF44-C27F-4DCC-8403-259CD5B2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6</Pages>
  <Words>2597</Words>
  <Characters>14803</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fabio</cp:lastModifiedBy>
  <cp:revision>20</cp:revision>
  <dcterms:created xsi:type="dcterms:W3CDTF">2015-04-09T07:36:00Z</dcterms:created>
  <dcterms:modified xsi:type="dcterms:W3CDTF">2015-04-27T08:18:00Z</dcterms:modified>
</cp:coreProperties>
</file>