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FBA" w:rsidRPr="00093E8C" w:rsidRDefault="002B4458" w:rsidP="00AA1A1E">
      <w:pPr>
        <w:jc w:val="both"/>
        <w:rPr>
          <w:rFonts w:ascii="Verdana" w:hAnsi="Verdana"/>
          <w:b/>
          <w:sz w:val="24"/>
          <w:szCs w:val="24"/>
        </w:rPr>
      </w:pPr>
      <w:r>
        <w:rPr>
          <w:rFonts w:ascii="Verdana" w:hAnsi="Verdana"/>
          <w:b/>
          <w:sz w:val="24"/>
          <w:szCs w:val="24"/>
        </w:rPr>
        <w:t>“</w:t>
      </w:r>
      <w:r w:rsidR="00052FBA" w:rsidRPr="00093E8C">
        <w:rPr>
          <w:rFonts w:ascii="Verdana" w:hAnsi="Verdana"/>
          <w:b/>
          <w:sz w:val="24"/>
          <w:szCs w:val="24"/>
        </w:rPr>
        <w:t xml:space="preserve">RIMEDI </w:t>
      </w:r>
      <w:r w:rsidR="00F17DED">
        <w:rPr>
          <w:rFonts w:ascii="Verdana" w:hAnsi="Verdana"/>
          <w:b/>
          <w:sz w:val="24"/>
          <w:szCs w:val="24"/>
        </w:rPr>
        <w:t>COMPENSATIVI</w:t>
      </w:r>
      <w:r>
        <w:rPr>
          <w:rFonts w:ascii="Verdana" w:hAnsi="Verdana"/>
          <w:b/>
          <w:sz w:val="24"/>
          <w:szCs w:val="24"/>
        </w:rPr>
        <w:t>”</w:t>
      </w:r>
      <w:r w:rsidR="00F17DED">
        <w:rPr>
          <w:rFonts w:ascii="Verdana" w:hAnsi="Verdana"/>
          <w:b/>
          <w:sz w:val="24"/>
          <w:szCs w:val="24"/>
        </w:rPr>
        <w:t xml:space="preserve"> </w:t>
      </w:r>
      <w:r w:rsidR="00052FBA" w:rsidRPr="00093E8C">
        <w:rPr>
          <w:rFonts w:ascii="Verdana" w:hAnsi="Verdana"/>
          <w:b/>
          <w:sz w:val="24"/>
          <w:szCs w:val="24"/>
        </w:rPr>
        <w:t xml:space="preserve">PER L’INUMANA DETENZIONE: L’ATTUALITA’ DEL PREGIUDIZIO NON </w:t>
      </w:r>
      <w:r w:rsidR="00F17DED">
        <w:rPr>
          <w:rFonts w:ascii="Verdana" w:hAnsi="Verdana"/>
          <w:b/>
          <w:sz w:val="24"/>
          <w:szCs w:val="24"/>
        </w:rPr>
        <w:t>E’</w:t>
      </w:r>
      <w:r w:rsidR="00DF4B55">
        <w:rPr>
          <w:rFonts w:ascii="Verdana" w:hAnsi="Verdana"/>
          <w:b/>
          <w:sz w:val="24"/>
          <w:szCs w:val="24"/>
        </w:rPr>
        <w:t xml:space="preserve"> (PROBABILMENTE) </w:t>
      </w:r>
      <w:r w:rsidR="00F17DED">
        <w:rPr>
          <w:rFonts w:ascii="Verdana" w:hAnsi="Verdana"/>
          <w:b/>
          <w:sz w:val="24"/>
          <w:szCs w:val="24"/>
        </w:rPr>
        <w:t>RILEVANTE PER IL RISARCIMENTO</w:t>
      </w:r>
      <w:r w:rsidR="00052FBA" w:rsidRPr="00093E8C">
        <w:rPr>
          <w:rFonts w:ascii="Verdana" w:hAnsi="Verdana"/>
          <w:b/>
          <w:sz w:val="24"/>
          <w:szCs w:val="24"/>
        </w:rPr>
        <w:t xml:space="preserve"> </w:t>
      </w:r>
    </w:p>
    <w:p w:rsidR="00052FBA" w:rsidRPr="002B4458" w:rsidRDefault="00052FBA" w:rsidP="00AA1A1E">
      <w:pPr>
        <w:jc w:val="both"/>
        <w:rPr>
          <w:rFonts w:ascii="Verdana" w:hAnsi="Verdana"/>
          <w:sz w:val="24"/>
          <w:szCs w:val="24"/>
        </w:rPr>
      </w:pPr>
      <w:proofErr w:type="gramStart"/>
      <w:r w:rsidRPr="002B4458">
        <w:rPr>
          <w:rFonts w:ascii="Verdana" w:hAnsi="Verdana"/>
          <w:sz w:val="24"/>
          <w:szCs w:val="24"/>
        </w:rPr>
        <w:t>di</w:t>
      </w:r>
      <w:proofErr w:type="gramEnd"/>
      <w:r w:rsidRPr="002B4458">
        <w:rPr>
          <w:rFonts w:ascii="Verdana" w:hAnsi="Verdana"/>
          <w:sz w:val="24"/>
          <w:szCs w:val="24"/>
        </w:rPr>
        <w:t xml:space="preserve"> Fabio </w:t>
      </w:r>
      <w:proofErr w:type="spellStart"/>
      <w:r w:rsidRPr="002B4458">
        <w:rPr>
          <w:rFonts w:ascii="Verdana" w:hAnsi="Verdana"/>
          <w:sz w:val="24"/>
          <w:szCs w:val="24"/>
        </w:rPr>
        <w:t>Fiorentin</w:t>
      </w:r>
      <w:proofErr w:type="spellEnd"/>
      <w:r w:rsidRPr="002B4458">
        <w:rPr>
          <w:rFonts w:ascii="Verdana" w:hAnsi="Verdana"/>
          <w:sz w:val="24"/>
          <w:szCs w:val="24"/>
        </w:rPr>
        <w:t xml:space="preserve"> magistrato</w:t>
      </w:r>
    </w:p>
    <w:p w:rsidR="002B4458" w:rsidRDefault="002B4458" w:rsidP="00AA1A1E">
      <w:pPr>
        <w:jc w:val="both"/>
        <w:rPr>
          <w:rFonts w:ascii="Verdana" w:hAnsi="Verdana"/>
          <w:sz w:val="24"/>
          <w:szCs w:val="24"/>
        </w:rPr>
      </w:pPr>
    </w:p>
    <w:p w:rsidR="00C1453B" w:rsidRPr="009E1DAA" w:rsidRDefault="009E1DAA" w:rsidP="009E1DAA">
      <w:pPr>
        <w:jc w:val="both"/>
        <w:rPr>
          <w:rFonts w:ascii="Verdana" w:hAnsi="Verdana"/>
          <w:b/>
          <w:bCs/>
          <w:sz w:val="24"/>
          <w:szCs w:val="24"/>
        </w:rPr>
      </w:pPr>
      <w:r w:rsidRPr="009E1DAA">
        <w:rPr>
          <w:rFonts w:ascii="Verdana" w:hAnsi="Verdana"/>
          <w:sz w:val="24"/>
          <w:szCs w:val="24"/>
        </w:rPr>
        <w:t>S</w:t>
      </w:r>
      <w:r w:rsidR="002B4458" w:rsidRPr="009E1DAA">
        <w:rPr>
          <w:rFonts w:ascii="Verdana" w:hAnsi="Verdana"/>
          <w:sz w:val="24"/>
          <w:szCs w:val="24"/>
        </w:rPr>
        <w:t>ommario:</w:t>
      </w:r>
      <w:r w:rsidR="00C1453B" w:rsidRPr="009E1DAA">
        <w:rPr>
          <w:rFonts w:ascii="Verdana" w:hAnsi="Verdana"/>
          <w:b/>
          <w:bCs/>
          <w:sz w:val="24"/>
          <w:szCs w:val="24"/>
        </w:rPr>
        <w:t xml:space="preserve"> </w:t>
      </w:r>
      <w:r w:rsidR="00C1453B" w:rsidRPr="009E1DAA">
        <w:rPr>
          <w:rFonts w:ascii="Verdana" w:hAnsi="Verdana"/>
          <w:bCs/>
          <w:sz w:val="24"/>
          <w:szCs w:val="24"/>
        </w:rPr>
        <w:t>1.</w:t>
      </w:r>
      <w:r w:rsidR="00113D9C">
        <w:rPr>
          <w:rFonts w:ascii="Verdana" w:hAnsi="Verdana"/>
          <w:bCs/>
          <w:sz w:val="24"/>
          <w:szCs w:val="24"/>
        </w:rPr>
        <w:t xml:space="preserve"> </w:t>
      </w:r>
      <w:r w:rsidR="00C1453B" w:rsidRPr="009E1DAA">
        <w:rPr>
          <w:rFonts w:ascii="Verdana" w:hAnsi="Verdana"/>
          <w:sz w:val="24"/>
          <w:szCs w:val="24"/>
        </w:rPr>
        <w:t xml:space="preserve">I “rimedi compensativi” introdotti in seguito alla sentenza </w:t>
      </w:r>
      <w:proofErr w:type="spellStart"/>
      <w:r w:rsidR="00C1453B" w:rsidRPr="009E1DAA">
        <w:rPr>
          <w:rFonts w:ascii="Verdana" w:hAnsi="Verdana"/>
          <w:i/>
          <w:sz w:val="24"/>
          <w:szCs w:val="24"/>
        </w:rPr>
        <w:t>Torreggiani</w:t>
      </w:r>
      <w:proofErr w:type="spellEnd"/>
      <w:r w:rsidR="00C42AE1">
        <w:rPr>
          <w:rFonts w:ascii="Verdana" w:hAnsi="Verdana"/>
          <w:i/>
          <w:sz w:val="24"/>
          <w:szCs w:val="24"/>
        </w:rPr>
        <w:t>.</w:t>
      </w:r>
      <w:r w:rsidR="00C1453B" w:rsidRPr="009E1DAA">
        <w:rPr>
          <w:rFonts w:ascii="Verdana" w:hAnsi="Verdana"/>
          <w:i/>
          <w:sz w:val="24"/>
          <w:szCs w:val="24"/>
        </w:rPr>
        <w:t xml:space="preserve"> - </w:t>
      </w:r>
      <w:r w:rsidR="00C1453B" w:rsidRPr="009E1DAA">
        <w:rPr>
          <w:rFonts w:ascii="Verdana" w:hAnsi="Verdana"/>
          <w:sz w:val="24"/>
          <w:szCs w:val="24"/>
        </w:rPr>
        <w:t>2.</w:t>
      </w:r>
      <w:r w:rsidR="00113D9C">
        <w:rPr>
          <w:rFonts w:ascii="Verdana" w:hAnsi="Verdana"/>
          <w:sz w:val="24"/>
          <w:szCs w:val="24"/>
        </w:rPr>
        <w:t xml:space="preserve"> </w:t>
      </w:r>
      <w:r w:rsidR="00C1453B" w:rsidRPr="009E1DAA">
        <w:rPr>
          <w:rFonts w:ascii="Verdana" w:hAnsi="Verdana"/>
          <w:sz w:val="24"/>
          <w:szCs w:val="24"/>
        </w:rPr>
        <w:t>“Attualità” o “non attualità” del pregiudizio subito?</w:t>
      </w:r>
      <w:r w:rsidRPr="009E1DAA">
        <w:rPr>
          <w:rFonts w:ascii="Verdana" w:hAnsi="Verdana"/>
          <w:bCs/>
          <w:sz w:val="24"/>
          <w:szCs w:val="24"/>
        </w:rPr>
        <w:t xml:space="preserve"> </w:t>
      </w:r>
      <w:r w:rsidR="00B649E1">
        <w:rPr>
          <w:rFonts w:ascii="Verdana" w:hAnsi="Verdana"/>
          <w:bCs/>
          <w:sz w:val="24"/>
          <w:szCs w:val="24"/>
        </w:rPr>
        <w:t xml:space="preserve">- </w:t>
      </w:r>
      <w:r w:rsidRPr="009E1DAA">
        <w:rPr>
          <w:rFonts w:ascii="Verdana" w:hAnsi="Verdana"/>
          <w:bCs/>
          <w:sz w:val="24"/>
          <w:szCs w:val="24"/>
        </w:rPr>
        <w:t>3. Due risposte contra</w:t>
      </w:r>
      <w:r w:rsidR="00C42AE1">
        <w:rPr>
          <w:rFonts w:ascii="Verdana" w:hAnsi="Verdana"/>
          <w:bCs/>
          <w:sz w:val="24"/>
          <w:szCs w:val="24"/>
        </w:rPr>
        <w:t>stanti.</w:t>
      </w:r>
      <w:r w:rsidRPr="009E1DAA">
        <w:rPr>
          <w:rFonts w:ascii="Verdana" w:hAnsi="Verdana"/>
          <w:bCs/>
          <w:sz w:val="24"/>
          <w:szCs w:val="24"/>
        </w:rPr>
        <w:t xml:space="preserve"> – 4.</w:t>
      </w:r>
      <w:r w:rsidR="00B649E1">
        <w:rPr>
          <w:rFonts w:ascii="Verdana" w:hAnsi="Verdana"/>
          <w:bCs/>
          <w:sz w:val="24"/>
          <w:szCs w:val="24"/>
        </w:rPr>
        <w:t xml:space="preserve"> </w:t>
      </w:r>
      <w:r w:rsidR="00C1453B" w:rsidRPr="009E1DAA">
        <w:rPr>
          <w:rFonts w:ascii="Verdana" w:hAnsi="Verdana"/>
          <w:bCs/>
          <w:sz w:val="24"/>
          <w:szCs w:val="24"/>
        </w:rPr>
        <w:t>Una problematica dalla soluzione a “rime obbligate”</w:t>
      </w:r>
      <w:r w:rsidR="00C42AE1">
        <w:rPr>
          <w:rFonts w:ascii="Verdana" w:hAnsi="Verdana"/>
          <w:bCs/>
          <w:sz w:val="24"/>
          <w:szCs w:val="24"/>
        </w:rPr>
        <w:t>.</w:t>
      </w:r>
      <w:r w:rsidR="00C1453B" w:rsidRPr="009E1DAA">
        <w:rPr>
          <w:rFonts w:ascii="Verdana" w:hAnsi="Verdana"/>
          <w:b/>
          <w:bCs/>
          <w:sz w:val="24"/>
          <w:szCs w:val="24"/>
        </w:rPr>
        <w:t xml:space="preserve"> </w:t>
      </w:r>
    </w:p>
    <w:p w:rsidR="007751E6" w:rsidRDefault="007751E6" w:rsidP="00AA1A1E">
      <w:pPr>
        <w:jc w:val="both"/>
        <w:rPr>
          <w:rFonts w:ascii="Verdana" w:hAnsi="Verdana"/>
          <w:szCs w:val="24"/>
        </w:rPr>
      </w:pPr>
    </w:p>
    <w:p w:rsidR="002B4458" w:rsidRPr="009E1DAA" w:rsidRDefault="009E1DAA" w:rsidP="00AA1A1E">
      <w:pPr>
        <w:jc w:val="both"/>
        <w:rPr>
          <w:rFonts w:ascii="Verdana" w:hAnsi="Verdana"/>
          <w:szCs w:val="24"/>
        </w:rPr>
      </w:pPr>
      <w:r>
        <w:rPr>
          <w:rFonts w:ascii="Verdana" w:hAnsi="Verdana"/>
          <w:szCs w:val="24"/>
        </w:rPr>
        <w:t xml:space="preserve">La disciplina </w:t>
      </w:r>
      <w:r w:rsidR="007751E6">
        <w:rPr>
          <w:rFonts w:ascii="Verdana" w:hAnsi="Verdana"/>
          <w:szCs w:val="24"/>
        </w:rPr>
        <w:t>d</w:t>
      </w:r>
      <w:r w:rsidR="00113D9C">
        <w:rPr>
          <w:rFonts w:ascii="Verdana" w:hAnsi="Verdana"/>
          <w:szCs w:val="24"/>
        </w:rPr>
        <w:t>e</w:t>
      </w:r>
      <w:r w:rsidR="007751E6">
        <w:rPr>
          <w:rFonts w:ascii="Verdana" w:hAnsi="Verdana"/>
          <w:szCs w:val="24"/>
        </w:rPr>
        <w:t>ll’art.35-ter l.354/75 in tema di “rimedi compensativi” del</w:t>
      </w:r>
      <w:r w:rsidR="008415C0">
        <w:rPr>
          <w:rFonts w:ascii="Verdana" w:hAnsi="Verdana"/>
          <w:szCs w:val="24"/>
        </w:rPr>
        <w:t xml:space="preserve">la detenzione subita </w:t>
      </w:r>
      <w:r w:rsidR="007751E6">
        <w:rPr>
          <w:rFonts w:ascii="Verdana" w:hAnsi="Verdana"/>
          <w:szCs w:val="24"/>
        </w:rPr>
        <w:t>in condizioni inumane e degradanti</w:t>
      </w:r>
      <w:r w:rsidR="00B649E1">
        <w:rPr>
          <w:rFonts w:ascii="Verdana" w:hAnsi="Verdana"/>
          <w:szCs w:val="24"/>
        </w:rPr>
        <w:t xml:space="preserve"> in violazione del</w:t>
      </w:r>
      <w:r w:rsidR="007751E6">
        <w:rPr>
          <w:rFonts w:ascii="Verdana" w:hAnsi="Verdana"/>
          <w:szCs w:val="24"/>
        </w:rPr>
        <w:t xml:space="preserve">l’art. 3 CEDU, </w:t>
      </w:r>
      <w:r>
        <w:rPr>
          <w:rFonts w:ascii="Verdana" w:hAnsi="Verdana"/>
          <w:szCs w:val="24"/>
        </w:rPr>
        <w:t>ha rivelato, fin dalle sue prime applicazioni</w:t>
      </w:r>
      <w:r w:rsidR="008415C0">
        <w:rPr>
          <w:rFonts w:ascii="Verdana" w:hAnsi="Verdana"/>
          <w:szCs w:val="24"/>
        </w:rPr>
        <w:t xml:space="preserve">, </w:t>
      </w:r>
      <w:r>
        <w:rPr>
          <w:rFonts w:ascii="Verdana" w:hAnsi="Verdana"/>
          <w:szCs w:val="24"/>
        </w:rPr>
        <w:t>numeros</w:t>
      </w:r>
      <w:r w:rsidR="00B649E1">
        <w:rPr>
          <w:rFonts w:ascii="Verdana" w:hAnsi="Verdana"/>
          <w:szCs w:val="24"/>
        </w:rPr>
        <w:t>e</w:t>
      </w:r>
      <w:r w:rsidR="007751E6">
        <w:rPr>
          <w:rFonts w:ascii="Verdana" w:hAnsi="Verdana"/>
          <w:szCs w:val="24"/>
        </w:rPr>
        <w:t xml:space="preserve"> criticità</w:t>
      </w:r>
      <w:r w:rsidR="008415C0">
        <w:rPr>
          <w:rFonts w:ascii="Verdana" w:hAnsi="Verdana"/>
          <w:szCs w:val="24"/>
        </w:rPr>
        <w:t xml:space="preserve">, </w:t>
      </w:r>
      <w:r w:rsidR="00B649E1">
        <w:rPr>
          <w:rFonts w:ascii="Verdana" w:hAnsi="Verdana"/>
          <w:szCs w:val="24"/>
        </w:rPr>
        <w:t xml:space="preserve">dovute </w:t>
      </w:r>
      <w:r w:rsidR="008415C0">
        <w:rPr>
          <w:rFonts w:ascii="Verdana" w:hAnsi="Verdana"/>
          <w:szCs w:val="24"/>
        </w:rPr>
        <w:t xml:space="preserve">soprattutto </w:t>
      </w:r>
      <w:r w:rsidR="00B649E1">
        <w:rPr>
          <w:rFonts w:ascii="Verdana" w:hAnsi="Verdana"/>
          <w:szCs w:val="24"/>
        </w:rPr>
        <w:t>al</w:t>
      </w:r>
      <w:r w:rsidR="008415C0">
        <w:rPr>
          <w:rFonts w:ascii="Verdana" w:hAnsi="Verdana"/>
          <w:szCs w:val="24"/>
        </w:rPr>
        <w:t xml:space="preserve"> </w:t>
      </w:r>
      <w:r w:rsidR="007751E6">
        <w:rPr>
          <w:rFonts w:ascii="Verdana" w:hAnsi="Verdana"/>
          <w:szCs w:val="24"/>
        </w:rPr>
        <w:t>dubbio se, ai fini del ricorso risarcitorio, sia necessaria l</w:t>
      </w:r>
      <w:proofErr w:type="gramStart"/>
      <w:r w:rsidR="008415C0">
        <w:rPr>
          <w:rFonts w:ascii="Verdana" w:hAnsi="Verdana"/>
          <w:szCs w:val="24"/>
        </w:rPr>
        <w:t>’</w:t>
      </w:r>
      <w:r w:rsidR="007751E6">
        <w:rPr>
          <w:rFonts w:ascii="Verdana" w:hAnsi="Verdana"/>
          <w:szCs w:val="24"/>
        </w:rPr>
        <w:t>“</w:t>
      </w:r>
      <w:proofErr w:type="gramEnd"/>
      <w:r w:rsidR="007751E6">
        <w:rPr>
          <w:rFonts w:ascii="Verdana" w:hAnsi="Verdana"/>
          <w:szCs w:val="24"/>
        </w:rPr>
        <w:t xml:space="preserve">attualità” del pregiudizio sofferto. Sul delicato profilo interpretativo si sono pronunciate, con esiti opposti, due contestuali sentenze della stessa sezione della Corte di legittimità.  </w:t>
      </w:r>
    </w:p>
    <w:p w:rsidR="002B4458" w:rsidRPr="002B4458" w:rsidRDefault="002B4458" w:rsidP="00AA1A1E">
      <w:pPr>
        <w:jc w:val="both"/>
        <w:rPr>
          <w:rFonts w:ascii="Verdana" w:hAnsi="Verdana"/>
          <w:sz w:val="24"/>
          <w:szCs w:val="24"/>
        </w:rPr>
      </w:pPr>
    </w:p>
    <w:p w:rsidR="002B4458" w:rsidRPr="002B4458" w:rsidRDefault="002B4458" w:rsidP="002B4458">
      <w:pPr>
        <w:pStyle w:val="Paragrafoelenco"/>
        <w:numPr>
          <w:ilvl w:val="0"/>
          <w:numId w:val="1"/>
        </w:numPr>
        <w:jc w:val="both"/>
        <w:rPr>
          <w:rFonts w:ascii="Verdana" w:hAnsi="Verdana"/>
          <w:b/>
          <w:i/>
          <w:sz w:val="24"/>
          <w:szCs w:val="24"/>
        </w:rPr>
      </w:pPr>
      <w:r w:rsidRPr="002B4458">
        <w:rPr>
          <w:rFonts w:ascii="Verdana" w:hAnsi="Verdana"/>
          <w:b/>
          <w:sz w:val="24"/>
          <w:szCs w:val="24"/>
        </w:rPr>
        <w:t xml:space="preserve">I “rimedi compensativi” introdotti in seguito alla sentenza </w:t>
      </w:r>
      <w:proofErr w:type="spellStart"/>
      <w:r w:rsidRPr="002B4458">
        <w:rPr>
          <w:rFonts w:ascii="Verdana" w:hAnsi="Verdana"/>
          <w:b/>
          <w:i/>
          <w:sz w:val="24"/>
          <w:szCs w:val="24"/>
        </w:rPr>
        <w:t>Torreggiani</w:t>
      </w:r>
      <w:proofErr w:type="spellEnd"/>
    </w:p>
    <w:p w:rsidR="00AA1A1E" w:rsidRPr="00093E8C" w:rsidRDefault="00AA1A1E" w:rsidP="001A5E27">
      <w:pPr>
        <w:spacing w:after="0" w:line="360" w:lineRule="auto"/>
        <w:jc w:val="both"/>
        <w:rPr>
          <w:rFonts w:ascii="Verdana" w:hAnsi="Verdana"/>
          <w:sz w:val="24"/>
          <w:szCs w:val="24"/>
        </w:rPr>
      </w:pPr>
      <w:r w:rsidRPr="00093E8C">
        <w:rPr>
          <w:rFonts w:ascii="Verdana" w:hAnsi="Verdana"/>
          <w:sz w:val="24"/>
          <w:szCs w:val="24"/>
        </w:rPr>
        <w:t xml:space="preserve">&lt;&lt; </w:t>
      </w:r>
      <w:r w:rsidRPr="00093E8C">
        <w:rPr>
          <w:rFonts w:ascii="Verdana" w:hAnsi="Verdana"/>
          <w:i/>
          <w:sz w:val="24"/>
          <w:szCs w:val="24"/>
        </w:rPr>
        <w:t>Grande è la confusione sotto il cielo, quindi la situazione è eccellente</w:t>
      </w:r>
      <w:r w:rsidRPr="00093E8C">
        <w:rPr>
          <w:rFonts w:ascii="Verdana" w:hAnsi="Verdana"/>
          <w:sz w:val="24"/>
          <w:szCs w:val="24"/>
        </w:rPr>
        <w:t>.&gt;&gt; L</w:t>
      </w:r>
      <w:r w:rsidR="00DF4B55">
        <w:rPr>
          <w:rFonts w:ascii="Verdana" w:hAnsi="Verdana"/>
          <w:sz w:val="24"/>
          <w:szCs w:val="24"/>
        </w:rPr>
        <w:t>’iconica</w:t>
      </w:r>
      <w:r w:rsidRPr="00093E8C">
        <w:rPr>
          <w:rFonts w:ascii="Verdana" w:hAnsi="Verdana"/>
          <w:sz w:val="24"/>
          <w:szCs w:val="24"/>
        </w:rPr>
        <w:t xml:space="preserve"> frase di Mao </w:t>
      </w:r>
      <w:proofErr w:type="spellStart"/>
      <w:r w:rsidR="00DF4B55">
        <w:rPr>
          <w:rFonts w:ascii="Verdana" w:hAnsi="Verdana"/>
          <w:sz w:val="24"/>
          <w:szCs w:val="24"/>
        </w:rPr>
        <w:t>Tse</w:t>
      </w:r>
      <w:proofErr w:type="spellEnd"/>
      <w:r w:rsidR="00DF4B55">
        <w:rPr>
          <w:rFonts w:ascii="Verdana" w:hAnsi="Verdana"/>
          <w:sz w:val="24"/>
          <w:szCs w:val="24"/>
        </w:rPr>
        <w:t xml:space="preserve"> </w:t>
      </w:r>
      <w:proofErr w:type="spellStart"/>
      <w:r w:rsidR="00DF4B55">
        <w:rPr>
          <w:rFonts w:ascii="Verdana" w:hAnsi="Verdana"/>
          <w:sz w:val="24"/>
          <w:szCs w:val="24"/>
        </w:rPr>
        <w:t>Tung</w:t>
      </w:r>
      <w:proofErr w:type="spellEnd"/>
      <w:r w:rsidR="00A71485">
        <w:rPr>
          <w:rFonts w:ascii="Verdana" w:hAnsi="Verdana"/>
          <w:sz w:val="24"/>
          <w:szCs w:val="24"/>
        </w:rPr>
        <w:t>, pronunciata in tempi di rivoluzioni</w:t>
      </w:r>
      <w:r w:rsidR="007751E6">
        <w:rPr>
          <w:rFonts w:ascii="Verdana" w:hAnsi="Verdana"/>
          <w:sz w:val="24"/>
          <w:szCs w:val="24"/>
        </w:rPr>
        <w:t xml:space="preserve"> epocali</w:t>
      </w:r>
      <w:r w:rsidR="00A71485">
        <w:rPr>
          <w:rFonts w:ascii="Verdana" w:hAnsi="Verdana"/>
          <w:sz w:val="24"/>
          <w:szCs w:val="24"/>
        </w:rPr>
        <w:t xml:space="preserve">, </w:t>
      </w:r>
      <w:r w:rsidRPr="00093E8C">
        <w:rPr>
          <w:rFonts w:ascii="Verdana" w:hAnsi="Verdana"/>
          <w:sz w:val="24"/>
          <w:szCs w:val="24"/>
        </w:rPr>
        <w:t xml:space="preserve">ritorna alla mente </w:t>
      </w:r>
      <w:r w:rsidR="00F17DED">
        <w:rPr>
          <w:rFonts w:ascii="Verdana" w:hAnsi="Verdana"/>
          <w:sz w:val="24"/>
          <w:szCs w:val="24"/>
        </w:rPr>
        <w:t xml:space="preserve">– purtroppo solo </w:t>
      </w:r>
      <w:r w:rsidR="00DF4B55">
        <w:rPr>
          <w:rFonts w:ascii="Verdana" w:hAnsi="Verdana"/>
          <w:sz w:val="24"/>
          <w:szCs w:val="24"/>
        </w:rPr>
        <w:t xml:space="preserve">per quanto riguarda la prima parte del celebre </w:t>
      </w:r>
      <w:r w:rsidR="00A71485">
        <w:rPr>
          <w:rFonts w:ascii="Verdana" w:hAnsi="Verdana"/>
          <w:sz w:val="24"/>
          <w:szCs w:val="24"/>
        </w:rPr>
        <w:t>aforisma</w:t>
      </w:r>
      <w:r w:rsidR="00DF4B55">
        <w:rPr>
          <w:rFonts w:ascii="Verdana" w:hAnsi="Verdana"/>
          <w:sz w:val="24"/>
          <w:szCs w:val="24"/>
        </w:rPr>
        <w:t xml:space="preserve"> </w:t>
      </w:r>
      <w:r w:rsidR="00F17DED">
        <w:rPr>
          <w:rFonts w:ascii="Verdana" w:hAnsi="Verdana"/>
          <w:sz w:val="24"/>
          <w:szCs w:val="24"/>
        </w:rPr>
        <w:t xml:space="preserve">– </w:t>
      </w:r>
      <w:r w:rsidR="00B649E1">
        <w:rPr>
          <w:rFonts w:ascii="Verdana" w:hAnsi="Verdana"/>
          <w:sz w:val="24"/>
          <w:szCs w:val="24"/>
        </w:rPr>
        <w:t>quando si riflette sulla</w:t>
      </w:r>
      <w:r w:rsidR="00A71485">
        <w:rPr>
          <w:rFonts w:ascii="Verdana" w:hAnsi="Verdana"/>
          <w:sz w:val="24"/>
          <w:szCs w:val="24"/>
        </w:rPr>
        <w:t xml:space="preserve"> ben più</w:t>
      </w:r>
      <w:r w:rsidR="007751E6">
        <w:rPr>
          <w:rFonts w:ascii="Verdana" w:hAnsi="Verdana"/>
          <w:sz w:val="24"/>
          <w:szCs w:val="24"/>
        </w:rPr>
        <w:t xml:space="preserve"> modesta </w:t>
      </w:r>
      <w:r w:rsidR="00A71485">
        <w:rPr>
          <w:rFonts w:ascii="Verdana" w:hAnsi="Verdana"/>
          <w:sz w:val="24"/>
          <w:szCs w:val="24"/>
        </w:rPr>
        <w:t xml:space="preserve">(se pure non </w:t>
      </w:r>
      <w:r w:rsidR="00113D9C">
        <w:rPr>
          <w:rFonts w:ascii="Verdana" w:hAnsi="Verdana"/>
          <w:sz w:val="24"/>
          <w:szCs w:val="24"/>
        </w:rPr>
        <w:t>del tutto</w:t>
      </w:r>
      <w:r w:rsidR="001A5E27">
        <w:rPr>
          <w:rFonts w:ascii="Verdana" w:hAnsi="Verdana"/>
          <w:sz w:val="24"/>
          <w:szCs w:val="24"/>
        </w:rPr>
        <w:t xml:space="preserve"> </w:t>
      </w:r>
      <w:r w:rsidR="00A71485">
        <w:rPr>
          <w:rFonts w:ascii="Verdana" w:hAnsi="Verdana"/>
          <w:sz w:val="24"/>
          <w:szCs w:val="24"/>
        </w:rPr>
        <w:t xml:space="preserve">trascurabile) </w:t>
      </w:r>
      <w:r w:rsidR="001A5E27">
        <w:rPr>
          <w:rFonts w:ascii="Verdana" w:hAnsi="Verdana"/>
          <w:sz w:val="24"/>
          <w:szCs w:val="24"/>
        </w:rPr>
        <w:t>“</w:t>
      </w:r>
      <w:r w:rsidR="00A71485">
        <w:rPr>
          <w:rFonts w:ascii="Verdana" w:hAnsi="Verdana"/>
          <w:sz w:val="24"/>
          <w:szCs w:val="24"/>
        </w:rPr>
        <w:t>rivoluzione</w:t>
      </w:r>
      <w:r w:rsidR="001A5E27">
        <w:rPr>
          <w:rFonts w:ascii="Verdana" w:hAnsi="Verdana"/>
          <w:sz w:val="24"/>
          <w:szCs w:val="24"/>
        </w:rPr>
        <w:t>”</w:t>
      </w:r>
      <w:r w:rsidR="00A71485">
        <w:rPr>
          <w:rFonts w:ascii="Verdana" w:hAnsi="Verdana"/>
          <w:sz w:val="24"/>
          <w:szCs w:val="24"/>
        </w:rPr>
        <w:t xml:space="preserve"> </w:t>
      </w:r>
      <w:r w:rsidR="00E95CB4">
        <w:rPr>
          <w:rFonts w:ascii="Verdana" w:hAnsi="Verdana"/>
          <w:sz w:val="24"/>
          <w:szCs w:val="24"/>
        </w:rPr>
        <w:t xml:space="preserve">verificatasi </w:t>
      </w:r>
      <w:r w:rsidR="00A71485">
        <w:rPr>
          <w:rFonts w:ascii="Verdana" w:hAnsi="Verdana"/>
          <w:sz w:val="24"/>
          <w:szCs w:val="24"/>
        </w:rPr>
        <w:t xml:space="preserve">nell’ordinamento italiano </w:t>
      </w:r>
      <w:r w:rsidR="00E95CB4">
        <w:rPr>
          <w:rFonts w:ascii="Verdana" w:hAnsi="Verdana"/>
          <w:sz w:val="24"/>
          <w:szCs w:val="24"/>
        </w:rPr>
        <w:t xml:space="preserve">in </w:t>
      </w:r>
      <w:r w:rsidR="00113D9C">
        <w:rPr>
          <w:rFonts w:ascii="Verdana" w:hAnsi="Verdana"/>
          <w:sz w:val="24"/>
          <w:szCs w:val="24"/>
        </w:rPr>
        <w:t>seguit</w:t>
      </w:r>
      <w:r w:rsidR="00E95CB4">
        <w:rPr>
          <w:rFonts w:ascii="Verdana" w:hAnsi="Verdana"/>
          <w:sz w:val="24"/>
          <w:szCs w:val="24"/>
        </w:rPr>
        <w:t>o</w:t>
      </w:r>
      <w:r w:rsidR="00113D9C">
        <w:rPr>
          <w:rFonts w:ascii="Verdana" w:hAnsi="Verdana"/>
          <w:sz w:val="24"/>
          <w:szCs w:val="24"/>
        </w:rPr>
        <w:t xml:space="preserve"> </w:t>
      </w:r>
      <w:r w:rsidR="001A5E27">
        <w:rPr>
          <w:rFonts w:ascii="Verdana" w:hAnsi="Verdana"/>
          <w:sz w:val="24"/>
          <w:szCs w:val="24"/>
        </w:rPr>
        <w:t xml:space="preserve"> </w:t>
      </w:r>
      <w:r w:rsidR="00052FBA" w:rsidRPr="00093E8C">
        <w:rPr>
          <w:rFonts w:ascii="Verdana" w:hAnsi="Verdana"/>
          <w:sz w:val="24"/>
          <w:szCs w:val="24"/>
        </w:rPr>
        <w:t>all</w:t>
      </w:r>
      <w:r w:rsidR="00256668">
        <w:rPr>
          <w:rFonts w:ascii="Verdana" w:hAnsi="Verdana"/>
          <w:sz w:val="24"/>
          <w:szCs w:val="24"/>
        </w:rPr>
        <w:t>’introduzione dei “</w:t>
      </w:r>
      <w:r w:rsidR="00A71485">
        <w:rPr>
          <w:rFonts w:ascii="Verdana" w:hAnsi="Verdana"/>
          <w:sz w:val="24"/>
          <w:szCs w:val="24"/>
        </w:rPr>
        <w:t>rimedi compensativi</w:t>
      </w:r>
      <w:r w:rsidR="00256668">
        <w:rPr>
          <w:rFonts w:ascii="Verdana" w:hAnsi="Verdana"/>
          <w:sz w:val="24"/>
          <w:szCs w:val="24"/>
        </w:rPr>
        <w:t>”</w:t>
      </w:r>
      <w:r w:rsidR="00A71485">
        <w:rPr>
          <w:rFonts w:ascii="Verdana" w:hAnsi="Verdana"/>
          <w:sz w:val="24"/>
          <w:szCs w:val="24"/>
        </w:rPr>
        <w:t xml:space="preserve"> </w:t>
      </w:r>
      <w:r w:rsidR="00256668">
        <w:rPr>
          <w:rFonts w:ascii="Verdana" w:hAnsi="Verdana"/>
          <w:sz w:val="24"/>
          <w:szCs w:val="24"/>
        </w:rPr>
        <w:t>(</w:t>
      </w:r>
      <w:r w:rsidRPr="00093E8C">
        <w:rPr>
          <w:rFonts w:ascii="Verdana" w:hAnsi="Verdana"/>
          <w:sz w:val="24"/>
          <w:szCs w:val="24"/>
        </w:rPr>
        <w:t>art.35-</w:t>
      </w:r>
      <w:r w:rsidRPr="00093E8C">
        <w:rPr>
          <w:rFonts w:ascii="Verdana" w:hAnsi="Verdana"/>
          <w:i/>
          <w:sz w:val="24"/>
          <w:szCs w:val="24"/>
        </w:rPr>
        <w:t xml:space="preserve">ter </w:t>
      </w:r>
      <w:r w:rsidRPr="00093E8C">
        <w:rPr>
          <w:rFonts w:ascii="Verdana" w:hAnsi="Verdana"/>
          <w:sz w:val="24"/>
          <w:szCs w:val="24"/>
        </w:rPr>
        <w:t>della legge 26 luglio 1975, n. 354</w:t>
      </w:r>
      <w:r w:rsidR="00FA6FF8">
        <w:rPr>
          <w:rFonts w:ascii="Verdana" w:hAnsi="Verdana"/>
          <w:sz w:val="24"/>
          <w:szCs w:val="24"/>
        </w:rPr>
        <w:t xml:space="preserve">, </w:t>
      </w:r>
      <w:r w:rsidRPr="00093E8C">
        <w:rPr>
          <w:rFonts w:ascii="Verdana" w:hAnsi="Verdana"/>
          <w:sz w:val="24"/>
          <w:szCs w:val="24"/>
        </w:rPr>
        <w:t>c.d. ordinamento penitenziario)</w:t>
      </w:r>
      <w:r w:rsidR="008E2C0F">
        <w:rPr>
          <w:rStyle w:val="Rimandonotaapidipagina"/>
          <w:rFonts w:ascii="Verdana" w:hAnsi="Verdana"/>
          <w:sz w:val="24"/>
          <w:szCs w:val="24"/>
        </w:rPr>
        <w:footnoteReference w:id="1"/>
      </w:r>
      <w:r w:rsidR="00256668">
        <w:rPr>
          <w:rFonts w:ascii="Verdana" w:hAnsi="Verdana"/>
          <w:sz w:val="24"/>
          <w:szCs w:val="24"/>
        </w:rPr>
        <w:t>,</w:t>
      </w:r>
      <w:r w:rsidR="00113D9C">
        <w:rPr>
          <w:rFonts w:ascii="Verdana" w:hAnsi="Verdana"/>
          <w:sz w:val="24"/>
          <w:szCs w:val="24"/>
        </w:rPr>
        <w:t xml:space="preserve"> </w:t>
      </w:r>
      <w:r w:rsidR="00256668">
        <w:rPr>
          <w:rFonts w:ascii="Verdana" w:hAnsi="Verdana"/>
          <w:sz w:val="24"/>
          <w:szCs w:val="24"/>
        </w:rPr>
        <w:t>frutto di u</w:t>
      </w:r>
      <w:r w:rsidR="00113D9C">
        <w:rPr>
          <w:rFonts w:ascii="Verdana" w:hAnsi="Verdana"/>
          <w:sz w:val="24"/>
          <w:szCs w:val="24"/>
        </w:rPr>
        <w:t>n intervento riformatore lungamente atteso</w:t>
      </w:r>
      <w:r w:rsidR="00DF4B55">
        <w:rPr>
          <w:rFonts w:ascii="Verdana" w:hAnsi="Verdana"/>
          <w:sz w:val="24"/>
          <w:szCs w:val="24"/>
        </w:rPr>
        <w:t xml:space="preserve"> </w:t>
      </w:r>
      <w:r w:rsidR="00113D9C">
        <w:rPr>
          <w:rFonts w:ascii="Verdana" w:hAnsi="Verdana"/>
          <w:sz w:val="24"/>
          <w:szCs w:val="24"/>
        </w:rPr>
        <w:t xml:space="preserve">e </w:t>
      </w:r>
      <w:r w:rsidR="00052FBA" w:rsidRPr="00093E8C">
        <w:rPr>
          <w:rFonts w:ascii="Verdana" w:hAnsi="Verdana"/>
          <w:sz w:val="24"/>
          <w:szCs w:val="24"/>
        </w:rPr>
        <w:t>res</w:t>
      </w:r>
      <w:r w:rsidR="00DF4B55">
        <w:rPr>
          <w:rFonts w:ascii="Verdana" w:hAnsi="Verdana"/>
          <w:sz w:val="24"/>
          <w:szCs w:val="24"/>
        </w:rPr>
        <w:t>o</w:t>
      </w:r>
      <w:r w:rsidR="00052FBA" w:rsidRPr="00093E8C">
        <w:rPr>
          <w:rFonts w:ascii="Verdana" w:hAnsi="Verdana"/>
          <w:sz w:val="24"/>
          <w:szCs w:val="24"/>
        </w:rPr>
        <w:t xml:space="preserve"> </w:t>
      </w:r>
      <w:r w:rsidR="00DF4B55">
        <w:rPr>
          <w:rFonts w:ascii="Verdana" w:hAnsi="Verdana"/>
          <w:sz w:val="24"/>
          <w:szCs w:val="24"/>
        </w:rPr>
        <w:t xml:space="preserve">non più procrastinabile </w:t>
      </w:r>
      <w:r w:rsidR="001A5E27">
        <w:rPr>
          <w:rFonts w:ascii="Verdana" w:hAnsi="Verdana"/>
          <w:sz w:val="24"/>
          <w:szCs w:val="24"/>
        </w:rPr>
        <w:t>d</w:t>
      </w:r>
      <w:r w:rsidRPr="00093E8C">
        <w:rPr>
          <w:rFonts w:ascii="Verdana" w:hAnsi="Verdana"/>
          <w:sz w:val="24"/>
          <w:szCs w:val="24"/>
        </w:rPr>
        <w:t xml:space="preserve">alle prescrizioni impartite al governo italiano dalla Corte europea dei diritti dell’Uomo con la sentenza </w:t>
      </w:r>
      <w:proofErr w:type="spellStart"/>
      <w:r w:rsidRPr="00DF4B55">
        <w:rPr>
          <w:rFonts w:ascii="Verdana" w:hAnsi="Verdana"/>
          <w:i/>
          <w:sz w:val="24"/>
          <w:szCs w:val="24"/>
        </w:rPr>
        <w:t>Torreggiani</w:t>
      </w:r>
      <w:proofErr w:type="spellEnd"/>
      <w:r w:rsidR="001A5E27">
        <w:rPr>
          <w:rFonts w:ascii="Verdana" w:hAnsi="Verdana"/>
          <w:i/>
          <w:sz w:val="24"/>
          <w:szCs w:val="24"/>
        </w:rPr>
        <w:t>,</w:t>
      </w:r>
      <w:r w:rsidR="00DF4B55" w:rsidRPr="00DF4B55">
        <w:rPr>
          <w:rFonts w:ascii="Verdana" w:hAnsi="Verdana"/>
          <w:i/>
          <w:sz w:val="24"/>
          <w:szCs w:val="24"/>
        </w:rPr>
        <w:t xml:space="preserve"> </w:t>
      </w:r>
      <w:r w:rsidR="00113D9C">
        <w:rPr>
          <w:rFonts w:ascii="Verdana" w:hAnsi="Verdana"/>
          <w:sz w:val="24"/>
          <w:szCs w:val="24"/>
        </w:rPr>
        <w:t>che è valso a togliere</w:t>
      </w:r>
      <w:r w:rsidR="00052FBA" w:rsidRPr="00093E8C">
        <w:rPr>
          <w:rFonts w:ascii="Verdana" w:hAnsi="Verdana"/>
          <w:sz w:val="24"/>
          <w:szCs w:val="24"/>
        </w:rPr>
        <w:t xml:space="preserve"> </w:t>
      </w:r>
      <w:r w:rsidRPr="00093E8C">
        <w:rPr>
          <w:rFonts w:ascii="Verdana" w:hAnsi="Verdana"/>
          <w:sz w:val="24"/>
          <w:szCs w:val="24"/>
        </w:rPr>
        <w:t>(</w:t>
      </w:r>
      <w:r w:rsidR="00113D9C">
        <w:rPr>
          <w:rFonts w:ascii="Verdana" w:hAnsi="Verdana"/>
          <w:sz w:val="24"/>
          <w:szCs w:val="24"/>
        </w:rPr>
        <w:t>per quanto</w:t>
      </w:r>
      <w:r w:rsidR="00256668">
        <w:rPr>
          <w:rFonts w:ascii="Verdana" w:hAnsi="Verdana"/>
          <w:sz w:val="24"/>
          <w:szCs w:val="24"/>
        </w:rPr>
        <w:t>, non si sa</w:t>
      </w:r>
      <w:r w:rsidR="00113D9C">
        <w:rPr>
          <w:rFonts w:ascii="Verdana" w:hAnsi="Verdana"/>
          <w:sz w:val="24"/>
          <w:szCs w:val="24"/>
        </w:rPr>
        <w:t>) il nostro Paese d</w:t>
      </w:r>
      <w:r w:rsidRPr="00093E8C">
        <w:rPr>
          <w:rFonts w:ascii="Verdana" w:hAnsi="Verdana"/>
          <w:sz w:val="24"/>
          <w:szCs w:val="24"/>
        </w:rPr>
        <w:t xml:space="preserve">alla scomoda posizione di “sorvegliato speciale” </w:t>
      </w:r>
      <w:r w:rsidR="00113D9C">
        <w:rPr>
          <w:rFonts w:ascii="Verdana" w:hAnsi="Verdana"/>
          <w:sz w:val="24"/>
          <w:szCs w:val="24"/>
        </w:rPr>
        <w:t>rispetto a</w:t>
      </w:r>
      <w:r w:rsidRPr="00093E8C">
        <w:rPr>
          <w:rFonts w:ascii="Verdana" w:hAnsi="Verdana"/>
          <w:sz w:val="24"/>
          <w:szCs w:val="24"/>
        </w:rPr>
        <w:t>l delicato tema del</w:t>
      </w:r>
      <w:r w:rsidR="00113D9C">
        <w:rPr>
          <w:rFonts w:ascii="Verdana" w:hAnsi="Verdana"/>
          <w:sz w:val="24"/>
          <w:szCs w:val="24"/>
        </w:rPr>
        <w:t xml:space="preserve">la tutela </w:t>
      </w:r>
      <w:r w:rsidRPr="00093E8C">
        <w:rPr>
          <w:rFonts w:ascii="Verdana" w:hAnsi="Verdana"/>
          <w:sz w:val="24"/>
          <w:szCs w:val="24"/>
        </w:rPr>
        <w:t xml:space="preserve"> dei diritti fondamentali delle persone private della libertà personale</w:t>
      </w:r>
      <w:r w:rsidR="008E2C0F">
        <w:rPr>
          <w:rStyle w:val="Rimandonotaapidipagina"/>
          <w:rFonts w:ascii="Verdana" w:hAnsi="Verdana"/>
          <w:sz w:val="24"/>
          <w:szCs w:val="24"/>
        </w:rPr>
        <w:footnoteReference w:id="2"/>
      </w:r>
      <w:r w:rsidRPr="00093E8C">
        <w:rPr>
          <w:rFonts w:ascii="Verdana" w:hAnsi="Verdana"/>
          <w:sz w:val="24"/>
          <w:szCs w:val="24"/>
        </w:rPr>
        <w:t>.</w:t>
      </w:r>
    </w:p>
    <w:p w:rsidR="001A5E27" w:rsidRDefault="00256668" w:rsidP="001A5E27">
      <w:pPr>
        <w:spacing w:after="0" w:line="360" w:lineRule="auto"/>
        <w:ind w:firstLine="708"/>
        <w:jc w:val="both"/>
        <w:rPr>
          <w:rFonts w:ascii="Verdana" w:hAnsi="Verdana"/>
          <w:sz w:val="24"/>
          <w:szCs w:val="24"/>
        </w:rPr>
      </w:pPr>
      <w:r>
        <w:rPr>
          <w:rFonts w:ascii="Verdana" w:hAnsi="Verdana"/>
          <w:sz w:val="24"/>
          <w:szCs w:val="24"/>
        </w:rPr>
        <w:lastRenderedPageBreak/>
        <w:t xml:space="preserve">Lo strumento </w:t>
      </w:r>
      <w:r w:rsidR="00113D9C">
        <w:rPr>
          <w:rFonts w:ascii="Verdana" w:hAnsi="Verdana"/>
          <w:sz w:val="24"/>
          <w:szCs w:val="24"/>
        </w:rPr>
        <w:t>risarcitori</w:t>
      </w:r>
      <w:r>
        <w:rPr>
          <w:rFonts w:ascii="Verdana" w:hAnsi="Verdana"/>
          <w:sz w:val="24"/>
          <w:szCs w:val="24"/>
        </w:rPr>
        <w:t>o di nuovo conio</w:t>
      </w:r>
      <w:r w:rsidR="00113D9C">
        <w:rPr>
          <w:rFonts w:ascii="Verdana" w:hAnsi="Verdana"/>
          <w:sz w:val="24"/>
          <w:szCs w:val="24"/>
        </w:rPr>
        <w:t>, disciplinando</w:t>
      </w:r>
      <w:r w:rsidR="00052FBA" w:rsidRPr="00093E8C">
        <w:rPr>
          <w:rFonts w:ascii="Verdana" w:hAnsi="Verdana"/>
          <w:sz w:val="24"/>
          <w:szCs w:val="24"/>
        </w:rPr>
        <w:t xml:space="preserve"> </w:t>
      </w:r>
      <w:r w:rsidR="00DF4B55">
        <w:rPr>
          <w:rFonts w:ascii="Verdana" w:hAnsi="Verdana"/>
          <w:sz w:val="24"/>
          <w:szCs w:val="24"/>
        </w:rPr>
        <w:t>una materia per molte ragioni “difficile”, quale è</w:t>
      </w:r>
      <w:r w:rsidR="001A5E27">
        <w:rPr>
          <w:rFonts w:ascii="Verdana" w:hAnsi="Verdana"/>
          <w:sz w:val="24"/>
          <w:szCs w:val="24"/>
        </w:rPr>
        <w:t>, nel nostro orizzonte politico-ordinamentale,</w:t>
      </w:r>
      <w:r w:rsidR="00DF4B55">
        <w:rPr>
          <w:rFonts w:ascii="Verdana" w:hAnsi="Verdana"/>
          <w:sz w:val="24"/>
          <w:szCs w:val="24"/>
        </w:rPr>
        <w:t xml:space="preserve"> </w:t>
      </w:r>
      <w:r>
        <w:rPr>
          <w:rFonts w:ascii="Verdana" w:hAnsi="Verdana"/>
          <w:sz w:val="24"/>
          <w:szCs w:val="24"/>
        </w:rPr>
        <w:t>l’esecuzione penitenziaria</w:t>
      </w:r>
      <w:r w:rsidR="00052FBA" w:rsidRPr="00093E8C">
        <w:rPr>
          <w:rFonts w:ascii="Verdana" w:hAnsi="Verdana"/>
          <w:sz w:val="24"/>
          <w:szCs w:val="24"/>
        </w:rPr>
        <w:t xml:space="preserve">, </w:t>
      </w:r>
      <w:r>
        <w:rPr>
          <w:rFonts w:ascii="Verdana" w:hAnsi="Verdana"/>
          <w:sz w:val="24"/>
          <w:szCs w:val="24"/>
        </w:rPr>
        <w:t xml:space="preserve">appare il frutto di un </w:t>
      </w:r>
      <w:r w:rsidR="00804231">
        <w:rPr>
          <w:rFonts w:ascii="Verdana" w:hAnsi="Verdana"/>
          <w:sz w:val="24"/>
          <w:szCs w:val="24"/>
        </w:rPr>
        <w:t xml:space="preserve">discutibile </w:t>
      </w:r>
      <w:r>
        <w:rPr>
          <w:rFonts w:ascii="Verdana" w:hAnsi="Verdana"/>
          <w:sz w:val="24"/>
          <w:szCs w:val="24"/>
        </w:rPr>
        <w:t xml:space="preserve">compromesso al ribasso tra l’aspirazione </w:t>
      </w:r>
      <w:r w:rsidR="00804231">
        <w:rPr>
          <w:rFonts w:ascii="Verdana" w:hAnsi="Verdana"/>
          <w:sz w:val="24"/>
          <w:szCs w:val="24"/>
        </w:rPr>
        <w:t xml:space="preserve">“alta” </w:t>
      </w:r>
      <w:r w:rsidR="00FA6FF8">
        <w:rPr>
          <w:rFonts w:ascii="Verdana" w:hAnsi="Verdana"/>
          <w:sz w:val="24"/>
          <w:szCs w:val="24"/>
        </w:rPr>
        <w:t>, promanant</w:t>
      </w:r>
      <w:r w:rsidR="00FA6FF8">
        <w:rPr>
          <w:rFonts w:ascii="Verdana" w:hAnsi="Verdana"/>
          <w:sz w:val="24"/>
          <w:szCs w:val="24"/>
        </w:rPr>
        <w:t>e</w:t>
      </w:r>
      <w:r w:rsidR="00FA6FF8">
        <w:rPr>
          <w:rFonts w:ascii="Verdana" w:hAnsi="Verdana"/>
          <w:sz w:val="24"/>
          <w:szCs w:val="24"/>
        </w:rPr>
        <w:t xml:space="preserve"> dall’assise europea, </w:t>
      </w:r>
      <w:r>
        <w:rPr>
          <w:rFonts w:ascii="Verdana" w:hAnsi="Verdana"/>
          <w:sz w:val="24"/>
          <w:szCs w:val="24"/>
        </w:rPr>
        <w:t xml:space="preserve">ad una effettiva tutela dei diritti dei detenuti </w:t>
      </w:r>
      <w:r w:rsidR="00804231">
        <w:rPr>
          <w:rFonts w:ascii="Verdana" w:hAnsi="Verdana"/>
          <w:sz w:val="24"/>
          <w:szCs w:val="24"/>
        </w:rPr>
        <w:t>anche sotto il profilo risarcitorio</w:t>
      </w:r>
      <w:r w:rsidR="00FA6FF8">
        <w:rPr>
          <w:rFonts w:ascii="Verdana" w:hAnsi="Verdana"/>
          <w:sz w:val="24"/>
          <w:szCs w:val="24"/>
        </w:rPr>
        <w:t xml:space="preserve"> </w:t>
      </w:r>
      <w:r>
        <w:rPr>
          <w:rFonts w:ascii="Verdana" w:hAnsi="Verdana"/>
          <w:sz w:val="24"/>
          <w:szCs w:val="24"/>
        </w:rPr>
        <w:t xml:space="preserve">e </w:t>
      </w:r>
      <w:r w:rsidR="00804231">
        <w:rPr>
          <w:rFonts w:ascii="Verdana" w:hAnsi="Verdana"/>
          <w:sz w:val="24"/>
          <w:szCs w:val="24"/>
        </w:rPr>
        <w:t>valutazioni di  politica</w:t>
      </w:r>
      <w:r w:rsidR="00FA6FF8">
        <w:rPr>
          <w:rFonts w:ascii="Verdana" w:hAnsi="Verdana"/>
          <w:sz w:val="24"/>
          <w:szCs w:val="24"/>
        </w:rPr>
        <w:t xml:space="preserve"> domestica</w:t>
      </w:r>
      <w:r w:rsidR="00804231">
        <w:rPr>
          <w:rFonts w:ascii="Verdana" w:hAnsi="Verdana"/>
          <w:sz w:val="24"/>
          <w:szCs w:val="24"/>
        </w:rPr>
        <w:t xml:space="preserve">, la cui sintesi </w:t>
      </w:r>
      <w:r w:rsidR="00C56B3E" w:rsidRPr="00093E8C">
        <w:rPr>
          <w:rFonts w:ascii="Verdana" w:hAnsi="Verdana"/>
          <w:sz w:val="24"/>
          <w:szCs w:val="24"/>
        </w:rPr>
        <w:t xml:space="preserve">ha </w:t>
      </w:r>
      <w:r w:rsidR="00FA6FF8">
        <w:rPr>
          <w:rFonts w:ascii="Verdana" w:hAnsi="Verdana"/>
          <w:sz w:val="24"/>
          <w:szCs w:val="24"/>
        </w:rPr>
        <w:t xml:space="preserve">prodotto una disciplina che è </w:t>
      </w:r>
      <w:r w:rsidR="00804231">
        <w:rPr>
          <w:rFonts w:ascii="Verdana" w:hAnsi="Verdana"/>
          <w:sz w:val="24"/>
          <w:szCs w:val="24"/>
        </w:rPr>
        <w:t>causa di</w:t>
      </w:r>
      <w:r w:rsidR="00AA1A1E" w:rsidRPr="00093E8C">
        <w:rPr>
          <w:rFonts w:ascii="Verdana" w:hAnsi="Verdana"/>
          <w:sz w:val="24"/>
          <w:szCs w:val="24"/>
        </w:rPr>
        <w:t xml:space="preserve"> notevoli difficoltà e incertezze applicative, </w:t>
      </w:r>
      <w:r w:rsidR="00804231">
        <w:rPr>
          <w:rFonts w:ascii="Verdana" w:hAnsi="Verdana"/>
          <w:sz w:val="24"/>
          <w:szCs w:val="24"/>
        </w:rPr>
        <w:t>aggravate altresì dalla</w:t>
      </w:r>
      <w:r w:rsidR="00EE008A" w:rsidRPr="00093E8C">
        <w:rPr>
          <w:rFonts w:ascii="Verdana" w:hAnsi="Verdana"/>
          <w:sz w:val="24"/>
          <w:szCs w:val="24"/>
        </w:rPr>
        <w:t xml:space="preserve"> poco sorvegliata formulazione della dizione normativa e </w:t>
      </w:r>
      <w:r w:rsidR="00804231">
        <w:rPr>
          <w:rFonts w:ascii="Verdana" w:hAnsi="Verdana"/>
          <w:sz w:val="24"/>
          <w:szCs w:val="24"/>
        </w:rPr>
        <w:t>d</w:t>
      </w:r>
      <w:r w:rsidR="00EE008A" w:rsidRPr="00093E8C">
        <w:rPr>
          <w:rFonts w:ascii="Verdana" w:hAnsi="Verdana"/>
          <w:sz w:val="24"/>
          <w:szCs w:val="24"/>
        </w:rPr>
        <w:t>a</w:t>
      </w:r>
      <w:r w:rsidR="001A5E27">
        <w:rPr>
          <w:rFonts w:ascii="Verdana" w:hAnsi="Verdana"/>
          <w:sz w:val="24"/>
          <w:szCs w:val="24"/>
        </w:rPr>
        <w:t>ll</w:t>
      </w:r>
      <w:r w:rsidR="00052FBA" w:rsidRPr="00093E8C">
        <w:rPr>
          <w:rFonts w:ascii="Verdana" w:hAnsi="Verdana"/>
          <w:sz w:val="24"/>
          <w:szCs w:val="24"/>
        </w:rPr>
        <w:t xml:space="preserve">a </w:t>
      </w:r>
      <w:r w:rsidR="001A5E27">
        <w:rPr>
          <w:rFonts w:ascii="Verdana" w:hAnsi="Verdana"/>
          <w:sz w:val="24"/>
          <w:szCs w:val="24"/>
        </w:rPr>
        <w:t>frettolosità di un</w:t>
      </w:r>
      <w:r w:rsidR="00804231">
        <w:rPr>
          <w:rFonts w:ascii="Verdana" w:hAnsi="Verdana"/>
          <w:sz w:val="24"/>
          <w:szCs w:val="24"/>
        </w:rPr>
        <w:t xml:space="preserve">a </w:t>
      </w:r>
      <w:r w:rsidR="00EE008A" w:rsidRPr="00093E8C">
        <w:rPr>
          <w:rFonts w:ascii="Verdana" w:hAnsi="Verdana"/>
          <w:sz w:val="24"/>
          <w:szCs w:val="24"/>
        </w:rPr>
        <w:t xml:space="preserve">altrettanto poco meditata scelta di politica legislativa, </w:t>
      </w:r>
      <w:r w:rsidR="00AF6D4C">
        <w:rPr>
          <w:rFonts w:ascii="Verdana" w:hAnsi="Verdana"/>
          <w:sz w:val="24"/>
          <w:szCs w:val="24"/>
        </w:rPr>
        <w:t xml:space="preserve">adottata </w:t>
      </w:r>
      <w:r w:rsidR="00AF6D4C" w:rsidRPr="00AF6D4C">
        <w:rPr>
          <w:rFonts w:ascii="Verdana" w:hAnsi="Verdana"/>
          <w:i/>
          <w:sz w:val="24"/>
          <w:szCs w:val="24"/>
        </w:rPr>
        <w:t>in limine</w:t>
      </w:r>
      <w:r w:rsidR="001A5E27">
        <w:rPr>
          <w:rFonts w:ascii="Verdana" w:hAnsi="Verdana"/>
          <w:sz w:val="24"/>
          <w:szCs w:val="24"/>
        </w:rPr>
        <w:t xml:space="preserve"> a</w:t>
      </w:r>
      <w:r w:rsidR="00AF6D4C">
        <w:rPr>
          <w:rFonts w:ascii="Verdana" w:hAnsi="Verdana"/>
          <w:sz w:val="24"/>
          <w:szCs w:val="24"/>
        </w:rPr>
        <w:t>l</w:t>
      </w:r>
      <w:r w:rsidR="00EE008A" w:rsidRPr="00093E8C">
        <w:rPr>
          <w:rFonts w:ascii="Verdana" w:hAnsi="Verdana"/>
          <w:sz w:val="24"/>
          <w:szCs w:val="24"/>
        </w:rPr>
        <w:t>l</w:t>
      </w:r>
      <w:r w:rsidR="00AF6D4C">
        <w:rPr>
          <w:rFonts w:ascii="Verdana" w:hAnsi="Verdana"/>
          <w:sz w:val="24"/>
          <w:szCs w:val="24"/>
        </w:rPr>
        <w:t xml:space="preserve">o spirare </w:t>
      </w:r>
      <w:r w:rsidR="00EE008A" w:rsidRPr="00093E8C">
        <w:rPr>
          <w:rFonts w:ascii="Verdana" w:hAnsi="Verdana"/>
          <w:sz w:val="24"/>
          <w:szCs w:val="24"/>
        </w:rPr>
        <w:t>del termine di scadenza dell’</w:t>
      </w:r>
      <w:r w:rsidR="00EE008A" w:rsidRPr="00093E8C">
        <w:rPr>
          <w:rFonts w:ascii="Verdana" w:hAnsi="Verdana"/>
          <w:i/>
          <w:sz w:val="24"/>
          <w:szCs w:val="24"/>
        </w:rPr>
        <w:t>ultimatum</w:t>
      </w:r>
      <w:r w:rsidR="00EE008A" w:rsidRPr="00093E8C">
        <w:rPr>
          <w:rFonts w:ascii="Verdana" w:hAnsi="Verdana"/>
          <w:sz w:val="24"/>
          <w:szCs w:val="24"/>
        </w:rPr>
        <w:t xml:space="preserve"> imposto dalla Corte alsaziana</w:t>
      </w:r>
      <w:r w:rsidR="008E2C0F">
        <w:rPr>
          <w:rStyle w:val="Rimandonotaapidipagina"/>
          <w:rFonts w:ascii="Verdana" w:hAnsi="Verdana"/>
          <w:sz w:val="24"/>
          <w:szCs w:val="24"/>
        </w:rPr>
        <w:footnoteReference w:id="3"/>
      </w:r>
      <w:r w:rsidR="00EE008A" w:rsidRPr="00093E8C">
        <w:rPr>
          <w:rFonts w:ascii="Verdana" w:hAnsi="Verdana"/>
          <w:sz w:val="24"/>
          <w:szCs w:val="24"/>
        </w:rPr>
        <w:t xml:space="preserve">. </w:t>
      </w:r>
      <w:r w:rsidR="00AA1A1E" w:rsidRPr="00093E8C">
        <w:rPr>
          <w:rFonts w:ascii="Verdana" w:hAnsi="Verdana"/>
          <w:sz w:val="24"/>
          <w:szCs w:val="24"/>
        </w:rPr>
        <w:t xml:space="preserve"> </w:t>
      </w:r>
    </w:p>
    <w:p w:rsidR="005872DC" w:rsidRDefault="00804231" w:rsidP="001A5E27">
      <w:pPr>
        <w:spacing w:after="0" w:line="360" w:lineRule="auto"/>
        <w:ind w:firstLine="708"/>
        <w:jc w:val="both"/>
        <w:rPr>
          <w:rFonts w:ascii="Verdana" w:hAnsi="Verdana"/>
          <w:sz w:val="24"/>
          <w:szCs w:val="24"/>
        </w:rPr>
      </w:pPr>
      <w:r>
        <w:rPr>
          <w:rFonts w:ascii="Verdana" w:hAnsi="Verdana"/>
          <w:sz w:val="24"/>
          <w:szCs w:val="24"/>
        </w:rPr>
        <w:t>I</w:t>
      </w:r>
      <w:r w:rsidR="00C56B3E" w:rsidRPr="00093E8C">
        <w:rPr>
          <w:rFonts w:ascii="Verdana" w:hAnsi="Verdana"/>
          <w:sz w:val="24"/>
          <w:szCs w:val="24"/>
        </w:rPr>
        <w:t xml:space="preserve"> molti dubbi interpretativi affacciatisi nei primi commenti alla nuova disciplina, ripresi e amplificati da</w:t>
      </w:r>
      <w:r>
        <w:rPr>
          <w:rFonts w:ascii="Verdana" w:hAnsi="Verdana"/>
          <w:sz w:val="24"/>
          <w:szCs w:val="24"/>
        </w:rPr>
        <w:t>lle divergenze riscontrate nei</w:t>
      </w:r>
      <w:r w:rsidR="00C56B3E" w:rsidRPr="00093E8C">
        <w:rPr>
          <w:rFonts w:ascii="Verdana" w:hAnsi="Verdana"/>
          <w:sz w:val="24"/>
          <w:szCs w:val="24"/>
        </w:rPr>
        <w:t xml:space="preserve"> prim</w:t>
      </w:r>
      <w:r w:rsidR="00AF6D4C">
        <w:rPr>
          <w:rFonts w:ascii="Verdana" w:hAnsi="Verdana"/>
          <w:sz w:val="24"/>
          <w:szCs w:val="24"/>
        </w:rPr>
        <w:t>i</w:t>
      </w:r>
      <w:r w:rsidR="00C56B3E" w:rsidRPr="00093E8C">
        <w:rPr>
          <w:rFonts w:ascii="Verdana" w:hAnsi="Verdana"/>
          <w:sz w:val="24"/>
          <w:szCs w:val="24"/>
        </w:rPr>
        <w:t xml:space="preserve"> </w:t>
      </w:r>
      <w:r w:rsidR="00AF6D4C">
        <w:rPr>
          <w:rFonts w:ascii="Verdana" w:hAnsi="Verdana"/>
          <w:sz w:val="24"/>
          <w:szCs w:val="24"/>
        </w:rPr>
        <w:t xml:space="preserve">arresti </w:t>
      </w:r>
      <w:r w:rsidR="00C56B3E" w:rsidRPr="00093E8C">
        <w:rPr>
          <w:rFonts w:ascii="Verdana" w:hAnsi="Verdana"/>
          <w:sz w:val="24"/>
          <w:szCs w:val="24"/>
        </w:rPr>
        <w:t>giurisprudenziali, avrebbe richiesto</w:t>
      </w:r>
      <w:r w:rsidR="00131C30">
        <w:rPr>
          <w:rFonts w:ascii="Verdana" w:hAnsi="Verdana"/>
          <w:sz w:val="24"/>
          <w:szCs w:val="24"/>
        </w:rPr>
        <w:t xml:space="preserve"> un immediato intervento del legislatore</w:t>
      </w:r>
      <w:r w:rsidR="00FA6FF8">
        <w:rPr>
          <w:rFonts w:ascii="Verdana" w:hAnsi="Verdana"/>
          <w:sz w:val="24"/>
          <w:szCs w:val="24"/>
        </w:rPr>
        <w:t xml:space="preserve"> per fornire un’i</w:t>
      </w:r>
      <w:r w:rsidR="00131C30">
        <w:rPr>
          <w:rFonts w:ascii="Verdana" w:hAnsi="Verdana"/>
          <w:sz w:val="24"/>
          <w:szCs w:val="24"/>
        </w:rPr>
        <w:t>nterpretazione autentica della disposizione</w:t>
      </w:r>
      <w:r>
        <w:rPr>
          <w:rFonts w:ascii="Verdana" w:hAnsi="Verdana"/>
          <w:sz w:val="24"/>
          <w:szCs w:val="24"/>
        </w:rPr>
        <w:t xml:space="preserve">. Ben presto </w:t>
      </w:r>
      <w:r w:rsidR="00C36877">
        <w:rPr>
          <w:rFonts w:ascii="Verdana" w:hAnsi="Verdana"/>
          <w:sz w:val="24"/>
          <w:szCs w:val="24"/>
        </w:rPr>
        <w:t xml:space="preserve">tramontata questa ipotesi, </w:t>
      </w:r>
      <w:r w:rsidR="00FA6FF8">
        <w:rPr>
          <w:rFonts w:ascii="Verdana" w:hAnsi="Verdana"/>
          <w:sz w:val="24"/>
          <w:szCs w:val="24"/>
        </w:rPr>
        <w:t xml:space="preserve">le speranze si sono incentrate su </w:t>
      </w:r>
      <w:r w:rsidR="00C56B3E" w:rsidRPr="00093E8C">
        <w:rPr>
          <w:rFonts w:ascii="Verdana" w:hAnsi="Verdana"/>
          <w:sz w:val="24"/>
          <w:szCs w:val="24"/>
        </w:rPr>
        <w:t>un</w:t>
      </w:r>
      <w:r w:rsidR="00C36877">
        <w:rPr>
          <w:rFonts w:ascii="Verdana" w:hAnsi="Verdana"/>
          <w:sz w:val="24"/>
          <w:szCs w:val="24"/>
        </w:rPr>
        <w:t>’</w:t>
      </w:r>
      <w:r w:rsidR="00FA6FF8">
        <w:rPr>
          <w:rFonts w:ascii="Verdana" w:hAnsi="Verdana"/>
          <w:sz w:val="24"/>
          <w:szCs w:val="24"/>
        </w:rPr>
        <w:t xml:space="preserve">auspicata </w:t>
      </w:r>
      <w:r w:rsidR="00C56B3E" w:rsidRPr="00093E8C">
        <w:rPr>
          <w:rFonts w:ascii="Verdana" w:hAnsi="Verdana"/>
          <w:sz w:val="24"/>
          <w:szCs w:val="24"/>
        </w:rPr>
        <w:t xml:space="preserve">operazione di “pronto intervento” della Corte di legittimità, </w:t>
      </w:r>
      <w:r w:rsidR="00C36877">
        <w:rPr>
          <w:rFonts w:ascii="Verdana" w:hAnsi="Verdana"/>
          <w:sz w:val="24"/>
          <w:szCs w:val="24"/>
        </w:rPr>
        <w:t xml:space="preserve">che </w:t>
      </w:r>
      <w:r w:rsidR="00C56B3E" w:rsidRPr="00093E8C">
        <w:rPr>
          <w:rFonts w:ascii="Verdana" w:hAnsi="Verdana"/>
          <w:sz w:val="24"/>
          <w:szCs w:val="24"/>
        </w:rPr>
        <w:t>offri</w:t>
      </w:r>
      <w:r w:rsidR="00C36877">
        <w:rPr>
          <w:rFonts w:ascii="Verdana" w:hAnsi="Verdana"/>
          <w:sz w:val="24"/>
          <w:szCs w:val="24"/>
        </w:rPr>
        <w:t>sse</w:t>
      </w:r>
      <w:r w:rsidR="00C56B3E" w:rsidRPr="00093E8C">
        <w:rPr>
          <w:rFonts w:ascii="Verdana" w:hAnsi="Verdana"/>
          <w:sz w:val="24"/>
          <w:szCs w:val="24"/>
        </w:rPr>
        <w:t xml:space="preserve"> agli interpreti le prime, indispensabili, coordinate ermeneutiche </w:t>
      </w:r>
      <w:r w:rsidR="00680955" w:rsidRPr="00093E8C">
        <w:rPr>
          <w:rFonts w:ascii="Verdana" w:hAnsi="Verdana"/>
          <w:sz w:val="24"/>
          <w:szCs w:val="24"/>
        </w:rPr>
        <w:t xml:space="preserve">utili a </w:t>
      </w:r>
      <w:r w:rsidR="00C56B3E" w:rsidRPr="00093E8C">
        <w:rPr>
          <w:rFonts w:ascii="Verdana" w:hAnsi="Verdana"/>
          <w:sz w:val="24"/>
          <w:szCs w:val="24"/>
        </w:rPr>
        <w:t>dipanare i rilevanti snodi</w:t>
      </w:r>
      <w:r w:rsidR="006F6C2D" w:rsidRPr="00093E8C">
        <w:rPr>
          <w:rFonts w:ascii="Verdana" w:hAnsi="Verdana"/>
          <w:sz w:val="24"/>
          <w:szCs w:val="24"/>
        </w:rPr>
        <w:t xml:space="preserve"> applicativi d</w:t>
      </w:r>
      <w:r w:rsidR="00C56B3E" w:rsidRPr="00093E8C">
        <w:rPr>
          <w:rFonts w:ascii="Verdana" w:hAnsi="Verdana"/>
          <w:sz w:val="24"/>
          <w:szCs w:val="24"/>
        </w:rPr>
        <w:t>ella disposizione di matrice europea</w:t>
      </w:r>
      <w:r w:rsidR="005872DC">
        <w:rPr>
          <w:rFonts w:ascii="Verdana" w:hAnsi="Verdana"/>
          <w:sz w:val="24"/>
          <w:szCs w:val="24"/>
        </w:rPr>
        <w:t xml:space="preserve"> di recente introduzione. </w:t>
      </w:r>
    </w:p>
    <w:p w:rsidR="00AA1A1E" w:rsidRPr="00093E8C" w:rsidRDefault="00AF6D4C" w:rsidP="001A5E27">
      <w:pPr>
        <w:spacing w:after="0" w:line="360" w:lineRule="auto"/>
        <w:ind w:firstLine="708"/>
        <w:jc w:val="both"/>
        <w:rPr>
          <w:rFonts w:ascii="Verdana" w:hAnsi="Verdana"/>
          <w:sz w:val="24"/>
          <w:szCs w:val="24"/>
        </w:rPr>
      </w:pPr>
      <w:r>
        <w:rPr>
          <w:rFonts w:ascii="Verdana" w:hAnsi="Verdana"/>
          <w:sz w:val="24"/>
          <w:szCs w:val="24"/>
        </w:rPr>
        <w:t xml:space="preserve">Le aspettative degli operatori per una prima chiarificazione, quantomeno sul piano </w:t>
      </w:r>
      <w:r w:rsidR="001A5E27">
        <w:rPr>
          <w:rFonts w:ascii="Verdana" w:hAnsi="Verdana"/>
          <w:sz w:val="24"/>
          <w:szCs w:val="24"/>
        </w:rPr>
        <w:t>nomofilattico</w:t>
      </w:r>
      <w:r w:rsidR="00FA6FF8">
        <w:rPr>
          <w:rFonts w:ascii="Verdana" w:hAnsi="Verdana"/>
          <w:sz w:val="24"/>
          <w:szCs w:val="24"/>
        </w:rPr>
        <w:t>,</w:t>
      </w:r>
      <w:r>
        <w:rPr>
          <w:rFonts w:ascii="Verdana" w:hAnsi="Verdana"/>
          <w:sz w:val="24"/>
          <w:szCs w:val="24"/>
        </w:rPr>
        <w:t xml:space="preserve"> sono andate, tuttavia, deluse </w:t>
      </w:r>
      <w:r w:rsidR="001A5E27">
        <w:rPr>
          <w:rFonts w:ascii="Verdana" w:hAnsi="Verdana"/>
          <w:sz w:val="24"/>
          <w:szCs w:val="24"/>
        </w:rPr>
        <w:t xml:space="preserve">ed anche </w:t>
      </w:r>
      <w:r>
        <w:rPr>
          <w:rFonts w:ascii="Verdana" w:hAnsi="Verdana"/>
          <w:sz w:val="24"/>
          <w:szCs w:val="24"/>
        </w:rPr>
        <w:t xml:space="preserve">le </w:t>
      </w:r>
      <w:r w:rsidR="00CF6156" w:rsidRPr="00093E8C">
        <w:rPr>
          <w:rFonts w:ascii="Verdana" w:hAnsi="Verdana"/>
          <w:sz w:val="24"/>
          <w:szCs w:val="24"/>
        </w:rPr>
        <w:t xml:space="preserve">due </w:t>
      </w:r>
      <w:r w:rsidR="00052FBA" w:rsidRPr="00093E8C">
        <w:rPr>
          <w:rFonts w:ascii="Verdana" w:hAnsi="Verdana"/>
          <w:sz w:val="24"/>
          <w:szCs w:val="24"/>
        </w:rPr>
        <w:t xml:space="preserve">pronunce </w:t>
      </w:r>
      <w:r w:rsidR="006F6C2D" w:rsidRPr="00093E8C">
        <w:rPr>
          <w:rFonts w:ascii="Verdana" w:hAnsi="Verdana"/>
          <w:sz w:val="24"/>
          <w:szCs w:val="24"/>
        </w:rPr>
        <w:t>qui in rassegna</w:t>
      </w:r>
      <w:r>
        <w:rPr>
          <w:rFonts w:ascii="Verdana" w:hAnsi="Verdana"/>
          <w:sz w:val="24"/>
          <w:szCs w:val="24"/>
        </w:rPr>
        <w:t xml:space="preserve"> </w:t>
      </w:r>
      <w:r w:rsidR="00131C30">
        <w:rPr>
          <w:rFonts w:ascii="Verdana" w:hAnsi="Verdana"/>
          <w:sz w:val="24"/>
          <w:szCs w:val="24"/>
        </w:rPr>
        <w:t xml:space="preserve">– tra le prime a dialogare con l’impervia dizione normativa </w:t>
      </w:r>
      <w:r w:rsidR="000E1EFE">
        <w:rPr>
          <w:rFonts w:ascii="Verdana" w:hAnsi="Verdana"/>
          <w:sz w:val="24"/>
          <w:szCs w:val="24"/>
        </w:rPr>
        <w:t>dell’art. 35-</w:t>
      </w:r>
      <w:r w:rsidR="000E1EFE" w:rsidRPr="000E1EFE">
        <w:rPr>
          <w:rFonts w:ascii="Verdana" w:hAnsi="Verdana"/>
          <w:i/>
          <w:sz w:val="24"/>
          <w:szCs w:val="24"/>
        </w:rPr>
        <w:t>ter</w:t>
      </w:r>
      <w:r w:rsidR="000E1EFE">
        <w:rPr>
          <w:rFonts w:ascii="Verdana" w:hAnsi="Verdana"/>
          <w:sz w:val="24"/>
          <w:szCs w:val="24"/>
        </w:rPr>
        <w:t xml:space="preserve">, </w:t>
      </w:r>
      <w:proofErr w:type="spellStart"/>
      <w:r w:rsidR="000E1EFE">
        <w:rPr>
          <w:rFonts w:ascii="Verdana" w:hAnsi="Verdana"/>
          <w:sz w:val="24"/>
          <w:szCs w:val="24"/>
        </w:rPr>
        <w:t>ord</w:t>
      </w:r>
      <w:proofErr w:type="spellEnd"/>
      <w:r w:rsidR="000E1EFE">
        <w:rPr>
          <w:rFonts w:ascii="Verdana" w:hAnsi="Verdana"/>
          <w:sz w:val="24"/>
          <w:szCs w:val="24"/>
        </w:rPr>
        <w:t xml:space="preserve">. </w:t>
      </w:r>
      <w:proofErr w:type="spellStart"/>
      <w:proofErr w:type="gramStart"/>
      <w:r w:rsidR="000E1EFE">
        <w:rPr>
          <w:rFonts w:ascii="Verdana" w:hAnsi="Verdana"/>
          <w:sz w:val="24"/>
          <w:szCs w:val="24"/>
        </w:rPr>
        <w:t>penit</w:t>
      </w:r>
      <w:proofErr w:type="spellEnd"/>
      <w:proofErr w:type="gramEnd"/>
      <w:r w:rsidR="000E1EFE">
        <w:rPr>
          <w:rFonts w:ascii="Verdana" w:hAnsi="Verdana"/>
          <w:sz w:val="24"/>
          <w:szCs w:val="24"/>
        </w:rPr>
        <w:t>.</w:t>
      </w:r>
      <w:r w:rsidR="00131C30">
        <w:rPr>
          <w:rFonts w:ascii="Verdana" w:hAnsi="Verdana"/>
          <w:sz w:val="24"/>
          <w:szCs w:val="24"/>
        </w:rPr>
        <w:t xml:space="preserve"> - </w:t>
      </w:r>
      <w:r>
        <w:rPr>
          <w:rFonts w:ascii="Verdana" w:hAnsi="Verdana"/>
          <w:sz w:val="24"/>
          <w:szCs w:val="24"/>
        </w:rPr>
        <w:t>no</w:t>
      </w:r>
      <w:r w:rsidR="00052FBA" w:rsidRPr="00093E8C">
        <w:rPr>
          <w:rFonts w:ascii="Verdana" w:hAnsi="Verdana"/>
          <w:sz w:val="24"/>
          <w:szCs w:val="24"/>
        </w:rPr>
        <w:t>n solo non contribui</w:t>
      </w:r>
      <w:r w:rsidR="006F6C2D" w:rsidRPr="00093E8C">
        <w:rPr>
          <w:rFonts w:ascii="Verdana" w:hAnsi="Verdana"/>
          <w:sz w:val="24"/>
          <w:szCs w:val="24"/>
        </w:rPr>
        <w:t>sc</w:t>
      </w:r>
      <w:r>
        <w:rPr>
          <w:rFonts w:ascii="Verdana" w:hAnsi="Verdana"/>
          <w:sz w:val="24"/>
          <w:szCs w:val="24"/>
        </w:rPr>
        <w:t>ono</w:t>
      </w:r>
      <w:r w:rsidR="00052FBA" w:rsidRPr="00093E8C">
        <w:rPr>
          <w:rFonts w:ascii="Verdana" w:hAnsi="Verdana"/>
          <w:sz w:val="24"/>
          <w:szCs w:val="24"/>
        </w:rPr>
        <w:t xml:space="preserve"> a dissipare i molti dubbi </w:t>
      </w:r>
      <w:r w:rsidR="006F6C2D" w:rsidRPr="00093E8C">
        <w:rPr>
          <w:rFonts w:ascii="Verdana" w:hAnsi="Verdana"/>
          <w:sz w:val="24"/>
          <w:szCs w:val="24"/>
        </w:rPr>
        <w:t xml:space="preserve">da tempo </w:t>
      </w:r>
      <w:r w:rsidR="00052FBA" w:rsidRPr="00093E8C">
        <w:rPr>
          <w:rFonts w:ascii="Verdana" w:hAnsi="Verdana"/>
          <w:sz w:val="24"/>
          <w:szCs w:val="24"/>
        </w:rPr>
        <w:t xml:space="preserve">in attesa di </w:t>
      </w:r>
      <w:r>
        <w:rPr>
          <w:rFonts w:ascii="Verdana" w:hAnsi="Verdana"/>
          <w:sz w:val="24"/>
          <w:szCs w:val="24"/>
        </w:rPr>
        <w:t>risoluzione</w:t>
      </w:r>
      <w:r w:rsidR="00052FBA" w:rsidRPr="00093E8C">
        <w:rPr>
          <w:rFonts w:ascii="Verdana" w:hAnsi="Verdana"/>
          <w:sz w:val="24"/>
          <w:szCs w:val="24"/>
        </w:rPr>
        <w:t xml:space="preserve">, ma – </w:t>
      </w:r>
      <w:r>
        <w:rPr>
          <w:rFonts w:ascii="Verdana" w:hAnsi="Verdana"/>
          <w:sz w:val="24"/>
          <w:szCs w:val="24"/>
        </w:rPr>
        <w:t xml:space="preserve">e sotto questo aspetto lo </w:t>
      </w:r>
      <w:r w:rsidR="006F6C2D" w:rsidRPr="00093E8C">
        <w:rPr>
          <w:rFonts w:ascii="Verdana" w:hAnsi="Verdana"/>
          <w:sz w:val="24"/>
          <w:szCs w:val="24"/>
        </w:rPr>
        <w:t>scenario assume connotati addirittura kafkiani –</w:t>
      </w:r>
      <w:r w:rsidR="00052FBA" w:rsidRPr="00093E8C">
        <w:rPr>
          <w:rFonts w:ascii="Verdana" w:hAnsi="Verdana"/>
          <w:sz w:val="24"/>
          <w:szCs w:val="24"/>
        </w:rPr>
        <w:t xml:space="preserve"> </w:t>
      </w:r>
      <w:r>
        <w:rPr>
          <w:rFonts w:ascii="Verdana" w:hAnsi="Verdana"/>
          <w:sz w:val="24"/>
          <w:szCs w:val="24"/>
        </w:rPr>
        <w:t>finisc</w:t>
      </w:r>
      <w:r w:rsidR="001A5E27">
        <w:rPr>
          <w:rFonts w:ascii="Verdana" w:hAnsi="Verdana"/>
          <w:sz w:val="24"/>
          <w:szCs w:val="24"/>
        </w:rPr>
        <w:t>ono</w:t>
      </w:r>
      <w:r>
        <w:rPr>
          <w:rFonts w:ascii="Verdana" w:hAnsi="Verdana"/>
          <w:sz w:val="24"/>
          <w:szCs w:val="24"/>
        </w:rPr>
        <w:t xml:space="preserve"> per </w:t>
      </w:r>
      <w:r w:rsidR="006F6C2D" w:rsidRPr="00093E8C">
        <w:rPr>
          <w:rFonts w:ascii="Verdana" w:hAnsi="Verdana"/>
          <w:sz w:val="24"/>
          <w:szCs w:val="24"/>
        </w:rPr>
        <w:t>alimenta</w:t>
      </w:r>
      <w:r>
        <w:rPr>
          <w:rFonts w:ascii="Verdana" w:hAnsi="Verdana"/>
          <w:sz w:val="24"/>
          <w:szCs w:val="24"/>
        </w:rPr>
        <w:t>re</w:t>
      </w:r>
      <w:r w:rsidR="006F6C2D" w:rsidRPr="00093E8C">
        <w:rPr>
          <w:rFonts w:ascii="Verdana" w:hAnsi="Verdana"/>
          <w:sz w:val="24"/>
          <w:szCs w:val="24"/>
        </w:rPr>
        <w:t xml:space="preserve"> quell’aura di incertezza che </w:t>
      </w:r>
      <w:r w:rsidR="00BA3E54" w:rsidRPr="00093E8C">
        <w:rPr>
          <w:rFonts w:ascii="Verdana" w:hAnsi="Verdana"/>
          <w:sz w:val="24"/>
          <w:szCs w:val="24"/>
        </w:rPr>
        <w:t>certo non contribuisce all’</w:t>
      </w:r>
      <w:r w:rsidR="006F6C2D" w:rsidRPr="00093E8C">
        <w:rPr>
          <w:rFonts w:ascii="Verdana" w:hAnsi="Verdana"/>
          <w:sz w:val="24"/>
          <w:szCs w:val="24"/>
        </w:rPr>
        <w:t>efficace governo applicativo del rimedio risarcitorio</w:t>
      </w:r>
      <w:r>
        <w:rPr>
          <w:rFonts w:ascii="Verdana" w:hAnsi="Verdana"/>
          <w:sz w:val="24"/>
          <w:szCs w:val="24"/>
        </w:rPr>
        <w:t xml:space="preserve"> </w:t>
      </w:r>
      <w:r w:rsidR="00131C30">
        <w:rPr>
          <w:rFonts w:ascii="Verdana" w:hAnsi="Verdana"/>
          <w:sz w:val="24"/>
          <w:szCs w:val="24"/>
        </w:rPr>
        <w:t>di ispirazione europea</w:t>
      </w:r>
      <w:r w:rsidR="00BA3E54" w:rsidRPr="00093E8C">
        <w:rPr>
          <w:rFonts w:ascii="Verdana" w:hAnsi="Verdana"/>
          <w:sz w:val="24"/>
          <w:szCs w:val="24"/>
        </w:rPr>
        <w:t>,</w:t>
      </w:r>
      <w:r w:rsidR="00FA6FF8">
        <w:rPr>
          <w:rFonts w:ascii="Verdana" w:hAnsi="Verdana"/>
          <w:sz w:val="24"/>
          <w:szCs w:val="24"/>
        </w:rPr>
        <w:t xml:space="preserve"> posto </w:t>
      </w:r>
      <w:r>
        <w:rPr>
          <w:rFonts w:ascii="Verdana" w:hAnsi="Verdana"/>
          <w:sz w:val="24"/>
          <w:szCs w:val="24"/>
        </w:rPr>
        <w:t>che</w:t>
      </w:r>
      <w:r w:rsidR="001A5E27">
        <w:rPr>
          <w:rFonts w:ascii="Verdana" w:hAnsi="Verdana"/>
          <w:sz w:val="24"/>
          <w:szCs w:val="24"/>
        </w:rPr>
        <w:t xml:space="preserve"> all’interprete sono offerte </w:t>
      </w:r>
      <w:r w:rsidR="00BA3E54" w:rsidRPr="00093E8C">
        <w:rPr>
          <w:rFonts w:ascii="Verdana" w:hAnsi="Verdana"/>
          <w:sz w:val="24"/>
          <w:szCs w:val="24"/>
        </w:rPr>
        <w:t xml:space="preserve">due letture praticamente contestuali (essendo state assunte nella medesima camera di </w:t>
      </w:r>
      <w:r w:rsidR="00BA3E54" w:rsidRPr="00093E8C">
        <w:rPr>
          <w:rFonts w:ascii="Verdana" w:hAnsi="Verdana"/>
          <w:sz w:val="24"/>
          <w:szCs w:val="24"/>
        </w:rPr>
        <w:lastRenderedPageBreak/>
        <w:t>consiglio) ma diametralmente opposte</w:t>
      </w:r>
      <w:r w:rsidR="000E1EFE">
        <w:rPr>
          <w:rFonts w:ascii="Verdana" w:hAnsi="Verdana"/>
          <w:sz w:val="24"/>
          <w:szCs w:val="24"/>
        </w:rPr>
        <w:t>, malauguratamente</w:t>
      </w:r>
      <w:r w:rsidR="00FA6FF8">
        <w:rPr>
          <w:rFonts w:ascii="Verdana" w:hAnsi="Verdana"/>
          <w:sz w:val="24"/>
          <w:szCs w:val="24"/>
        </w:rPr>
        <w:t>,</w:t>
      </w:r>
      <w:r w:rsidR="000E1EFE">
        <w:rPr>
          <w:rFonts w:ascii="Verdana" w:hAnsi="Verdana"/>
          <w:sz w:val="24"/>
          <w:szCs w:val="24"/>
        </w:rPr>
        <w:t xml:space="preserve"> in relazione a</w:t>
      </w:r>
      <w:r w:rsidR="00BA3E54" w:rsidRPr="00093E8C">
        <w:rPr>
          <w:rFonts w:ascii="Verdana" w:hAnsi="Verdana"/>
          <w:sz w:val="24"/>
          <w:szCs w:val="24"/>
        </w:rPr>
        <w:t>d un</w:t>
      </w:r>
      <w:r w:rsidR="000E1EFE">
        <w:rPr>
          <w:rFonts w:ascii="Verdana" w:hAnsi="Verdana"/>
          <w:sz w:val="24"/>
          <w:szCs w:val="24"/>
        </w:rPr>
        <w:t>o</w:t>
      </w:r>
      <w:r w:rsidR="00BA3E54" w:rsidRPr="00093E8C">
        <w:rPr>
          <w:rFonts w:ascii="Verdana" w:hAnsi="Verdana"/>
          <w:sz w:val="24"/>
          <w:szCs w:val="24"/>
        </w:rPr>
        <w:t xml:space="preserve"> de</w:t>
      </w:r>
      <w:r w:rsidR="000E1EFE">
        <w:rPr>
          <w:rFonts w:ascii="Verdana" w:hAnsi="Verdana"/>
          <w:sz w:val="24"/>
          <w:szCs w:val="24"/>
        </w:rPr>
        <w:t>i più delicati profili della nuova disciplina</w:t>
      </w:r>
      <w:r w:rsidR="00BA3E54" w:rsidRPr="00093E8C">
        <w:rPr>
          <w:rFonts w:ascii="Verdana" w:hAnsi="Verdana"/>
          <w:sz w:val="24"/>
          <w:szCs w:val="24"/>
        </w:rPr>
        <w:t xml:space="preserve">.   </w:t>
      </w:r>
      <w:r w:rsidR="006F6C2D" w:rsidRPr="00093E8C">
        <w:rPr>
          <w:rFonts w:ascii="Verdana" w:hAnsi="Verdana"/>
          <w:sz w:val="24"/>
          <w:szCs w:val="24"/>
        </w:rPr>
        <w:t xml:space="preserve">  </w:t>
      </w:r>
      <w:r w:rsidR="00C56B3E" w:rsidRPr="00093E8C">
        <w:rPr>
          <w:rFonts w:ascii="Verdana" w:hAnsi="Verdana"/>
          <w:sz w:val="24"/>
          <w:szCs w:val="24"/>
        </w:rPr>
        <w:t xml:space="preserve">  </w:t>
      </w:r>
      <w:r w:rsidR="00EE008A" w:rsidRPr="00093E8C">
        <w:rPr>
          <w:rFonts w:ascii="Verdana" w:hAnsi="Verdana"/>
          <w:sz w:val="24"/>
          <w:szCs w:val="24"/>
        </w:rPr>
        <w:t xml:space="preserve">   </w:t>
      </w:r>
    </w:p>
    <w:p w:rsidR="000E1EFE" w:rsidRDefault="00BA3E54" w:rsidP="000E1EFE">
      <w:pPr>
        <w:spacing w:after="0" w:line="360" w:lineRule="auto"/>
        <w:ind w:firstLine="708"/>
        <w:jc w:val="both"/>
        <w:rPr>
          <w:rFonts w:ascii="Verdana" w:hAnsi="Verdana"/>
          <w:sz w:val="24"/>
          <w:szCs w:val="24"/>
        </w:rPr>
      </w:pPr>
      <w:r w:rsidRPr="00093E8C">
        <w:rPr>
          <w:rFonts w:ascii="Verdana" w:hAnsi="Verdana"/>
          <w:sz w:val="24"/>
          <w:szCs w:val="24"/>
        </w:rPr>
        <w:t>S</w:t>
      </w:r>
      <w:r w:rsidR="00881DD8" w:rsidRPr="00093E8C">
        <w:rPr>
          <w:rFonts w:ascii="Verdana" w:hAnsi="Verdana"/>
          <w:sz w:val="24"/>
          <w:szCs w:val="24"/>
        </w:rPr>
        <w:t>i intende alludere al quesito</w:t>
      </w:r>
      <w:r w:rsidRPr="00093E8C">
        <w:rPr>
          <w:rFonts w:ascii="Verdana" w:hAnsi="Verdana"/>
          <w:sz w:val="24"/>
          <w:szCs w:val="24"/>
        </w:rPr>
        <w:t xml:space="preserve">, gravido </w:t>
      </w:r>
      <w:r w:rsidR="00052FBA" w:rsidRPr="00093E8C">
        <w:rPr>
          <w:rFonts w:ascii="Verdana" w:hAnsi="Verdana"/>
          <w:sz w:val="24"/>
          <w:szCs w:val="24"/>
        </w:rPr>
        <w:t xml:space="preserve">di conseguenze proprio sul piano di quell’ “effettività” dello strumento che </w:t>
      </w:r>
      <w:r w:rsidR="00AF6D4C">
        <w:rPr>
          <w:rFonts w:ascii="Verdana" w:hAnsi="Verdana"/>
          <w:sz w:val="24"/>
          <w:szCs w:val="24"/>
        </w:rPr>
        <w:t>sta particolarmente a cuore alla Corte europea</w:t>
      </w:r>
      <w:r w:rsidR="00881DD8" w:rsidRPr="00093E8C">
        <w:rPr>
          <w:rFonts w:ascii="Verdana" w:hAnsi="Verdana"/>
          <w:sz w:val="24"/>
          <w:szCs w:val="24"/>
        </w:rPr>
        <w:t xml:space="preserve">, </w:t>
      </w:r>
      <w:r w:rsidR="000E1EFE">
        <w:rPr>
          <w:rFonts w:ascii="Verdana" w:hAnsi="Verdana"/>
          <w:sz w:val="24"/>
          <w:szCs w:val="24"/>
        </w:rPr>
        <w:t>se</w:t>
      </w:r>
      <w:r w:rsidR="00474CAB" w:rsidRPr="00093E8C">
        <w:rPr>
          <w:rFonts w:ascii="Verdana" w:hAnsi="Verdana"/>
          <w:sz w:val="24"/>
          <w:szCs w:val="24"/>
        </w:rPr>
        <w:t xml:space="preserve"> la p</w:t>
      </w:r>
      <w:r w:rsidR="00881DD8" w:rsidRPr="00093E8C">
        <w:rPr>
          <w:rFonts w:ascii="Verdana" w:hAnsi="Verdana"/>
          <w:sz w:val="24"/>
          <w:szCs w:val="24"/>
        </w:rPr>
        <w:t xml:space="preserve">ossibilità del risarcimento del danno derivante dal pregiudizio subito dal detenuto o dall’internato </w:t>
      </w:r>
      <w:r w:rsidR="00131C30">
        <w:rPr>
          <w:rFonts w:ascii="Verdana" w:hAnsi="Verdana"/>
          <w:sz w:val="24"/>
          <w:szCs w:val="24"/>
        </w:rPr>
        <w:t xml:space="preserve">per violazione dell’art.3 CEDU </w:t>
      </w:r>
      <w:r w:rsidR="00881DD8" w:rsidRPr="00093E8C">
        <w:rPr>
          <w:rFonts w:ascii="Verdana" w:hAnsi="Verdana"/>
          <w:sz w:val="24"/>
          <w:szCs w:val="24"/>
        </w:rPr>
        <w:t>sia subordinata all’accertamento dell</w:t>
      </w:r>
      <w:proofErr w:type="gramStart"/>
      <w:r w:rsidR="00881DD8" w:rsidRPr="00093E8C">
        <w:rPr>
          <w:rFonts w:ascii="Verdana" w:hAnsi="Verdana"/>
          <w:sz w:val="24"/>
          <w:szCs w:val="24"/>
        </w:rPr>
        <w:t>’</w:t>
      </w:r>
      <w:r w:rsidR="00474CAB" w:rsidRPr="00093E8C">
        <w:rPr>
          <w:rFonts w:ascii="Verdana" w:hAnsi="Verdana"/>
          <w:sz w:val="24"/>
          <w:szCs w:val="24"/>
        </w:rPr>
        <w:t>“</w:t>
      </w:r>
      <w:proofErr w:type="gramEnd"/>
      <w:r w:rsidR="00474CAB" w:rsidRPr="00093E8C">
        <w:rPr>
          <w:rFonts w:ascii="Verdana" w:hAnsi="Verdana"/>
          <w:sz w:val="24"/>
          <w:szCs w:val="24"/>
        </w:rPr>
        <w:t>attualità” del</w:t>
      </w:r>
      <w:r w:rsidR="00881DD8" w:rsidRPr="00093E8C">
        <w:rPr>
          <w:rFonts w:ascii="Verdana" w:hAnsi="Verdana"/>
          <w:sz w:val="24"/>
          <w:szCs w:val="24"/>
        </w:rPr>
        <w:t xml:space="preserve"> </w:t>
      </w:r>
      <w:r w:rsidR="00FA6FF8">
        <w:rPr>
          <w:rFonts w:ascii="Verdana" w:hAnsi="Verdana"/>
          <w:sz w:val="24"/>
          <w:szCs w:val="24"/>
        </w:rPr>
        <w:t xml:space="preserve">pregiudizio </w:t>
      </w:r>
      <w:r w:rsidR="00881DD8" w:rsidRPr="00093E8C">
        <w:rPr>
          <w:rFonts w:ascii="Verdana" w:hAnsi="Verdana"/>
          <w:sz w:val="24"/>
          <w:szCs w:val="24"/>
        </w:rPr>
        <w:t>medesimo</w:t>
      </w:r>
      <w:r w:rsidR="00746EB6">
        <w:rPr>
          <w:rFonts w:ascii="Verdana" w:hAnsi="Verdana"/>
          <w:sz w:val="24"/>
          <w:szCs w:val="24"/>
        </w:rPr>
        <w:t>,</w:t>
      </w:r>
      <w:r w:rsidR="00881DD8" w:rsidRPr="00093E8C">
        <w:rPr>
          <w:rFonts w:ascii="Verdana" w:hAnsi="Verdana"/>
          <w:sz w:val="24"/>
          <w:szCs w:val="24"/>
        </w:rPr>
        <w:t xml:space="preserve"> </w:t>
      </w:r>
      <w:r w:rsidR="00AF6D4C">
        <w:rPr>
          <w:rFonts w:ascii="Verdana" w:hAnsi="Verdana"/>
          <w:sz w:val="24"/>
          <w:szCs w:val="24"/>
        </w:rPr>
        <w:t xml:space="preserve">sussistente </w:t>
      </w:r>
      <w:r w:rsidR="00881DD8" w:rsidRPr="00093E8C">
        <w:rPr>
          <w:rFonts w:ascii="Verdana" w:hAnsi="Verdana"/>
          <w:sz w:val="24"/>
          <w:szCs w:val="24"/>
        </w:rPr>
        <w:t xml:space="preserve">al momento della </w:t>
      </w:r>
      <w:r w:rsidR="00746EB6">
        <w:rPr>
          <w:rFonts w:ascii="Verdana" w:hAnsi="Verdana"/>
          <w:sz w:val="24"/>
          <w:szCs w:val="24"/>
        </w:rPr>
        <w:t>domanda a</w:t>
      </w:r>
      <w:r w:rsidR="00881DD8" w:rsidRPr="00093E8C">
        <w:rPr>
          <w:rFonts w:ascii="Verdana" w:hAnsi="Verdana"/>
          <w:sz w:val="24"/>
          <w:szCs w:val="24"/>
        </w:rPr>
        <w:t>l giudice</w:t>
      </w:r>
      <w:r w:rsidR="00746EB6">
        <w:rPr>
          <w:rFonts w:ascii="Verdana" w:hAnsi="Verdana"/>
          <w:sz w:val="24"/>
          <w:szCs w:val="24"/>
        </w:rPr>
        <w:t xml:space="preserve"> competente</w:t>
      </w:r>
      <w:r w:rsidR="00474CAB" w:rsidRPr="00093E8C">
        <w:rPr>
          <w:rFonts w:ascii="Verdana" w:hAnsi="Verdana"/>
          <w:sz w:val="24"/>
          <w:szCs w:val="24"/>
        </w:rPr>
        <w:t>.</w:t>
      </w:r>
      <w:r w:rsidR="00881DD8" w:rsidRPr="00093E8C">
        <w:rPr>
          <w:rFonts w:ascii="Verdana" w:hAnsi="Verdana"/>
          <w:sz w:val="24"/>
          <w:szCs w:val="24"/>
        </w:rPr>
        <w:t xml:space="preserve"> </w:t>
      </w:r>
      <w:r w:rsidR="00474CAB" w:rsidRPr="00093E8C">
        <w:rPr>
          <w:rFonts w:ascii="Verdana" w:hAnsi="Verdana"/>
          <w:sz w:val="24"/>
          <w:szCs w:val="24"/>
        </w:rPr>
        <w:t xml:space="preserve"> </w:t>
      </w:r>
    </w:p>
    <w:p w:rsidR="000E1EFE" w:rsidRDefault="000E1EFE" w:rsidP="000E1EFE">
      <w:pPr>
        <w:spacing w:after="0" w:line="360" w:lineRule="auto"/>
        <w:jc w:val="both"/>
        <w:rPr>
          <w:rFonts w:ascii="Verdana" w:hAnsi="Verdana"/>
          <w:sz w:val="24"/>
          <w:szCs w:val="24"/>
        </w:rPr>
      </w:pPr>
    </w:p>
    <w:p w:rsidR="002B4458" w:rsidRPr="000E1EFE" w:rsidRDefault="002B4458" w:rsidP="000E1EFE">
      <w:pPr>
        <w:pStyle w:val="Paragrafoelenco"/>
        <w:numPr>
          <w:ilvl w:val="0"/>
          <w:numId w:val="1"/>
        </w:numPr>
        <w:spacing w:after="0" w:line="360" w:lineRule="auto"/>
        <w:jc w:val="both"/>
        <w:rPr>
          <w:rFonts w:ascii="Verdana" w:hAnsi="Verdana"/>
          <w:b/>
          <w:sz w:val="24"/>
          <w:szCs w:val="24"/>
        </w:rPr>
      </w:pPr>
      <w:r w:rsidRPr="000E1EFE">
        <w:rPr>
          <w:rFonts w:ascii="Verdana" w:hAnsi="Verdana"/>
          <w:b/>
          <w:sz w:val="24"/>
          <w:szCs w:val="24"/>
        </w:rPr>
        <w:t>“Attualità” o “non attualità” del pregiudizio subito?</w:t>
      </w:r>
    </w:p>
    <w:p w:rsidR="00746EB6" w:rsidRDefault="000E1EFE" w:rsidP="001A5E27">
      <w:pPr>
        <w:spacing w:after="0" w:line="360" w:lineRule="auto"/>
        <w:jc w:val="both"/>
        <w:rPr>
          <w:rFonts w:ascii="Verdana" w:hAnsi="Verdana"/>
          <w:sz w:val="24"/>
          <w:szCs w:val="24"/>
        </w:rPr>
      </w:pPr>
      <w:r>
        <w:rPr>
          <w:rFonts w:ascii="Verdana" w:hAnsi="Verdana"/>
          <w:sz w:val="24"/>
          <w:szCs w:val="24"/>
        </w:rPr>
        <w:t xml:space="preserve">     </w:t>
      </w:r>
      <w:r w:rsidR="003D5860">
        <w:rPr>
          <w:rFonts w:ascii="Verdana" w:hAnsi="Verdana"/>
          <w:sz w:val="24"/>
          <w:szCs w:val="24"/>
        </w:rPr>
        <w:t>L</w:t>
      </w:r>
      <w:r>
        <w:rPr>
          <w:rFonts w:ascii="Verdana" w:hAnsi="Verdana"/>
          <w:sz w:val="24"/>
          <w:szCs w:val="24"/>
        </w:rPr>
        <w:t xml:space="preserve">a </w:t>
      </w:r>
      <w:r w:rsidR="003D5860">
        <w:rPr>
          <w:rFonts w:ascii="Verdana" w:hAnsi="Verdana"/>
          <w:sz w:val="24"/>
          <w:szCs w:val="24"/>
        </w:rPr>
        <w:t>questione</w:t>
      </w:r>
      <w:r w:rsidR="00474CAB" w:rsidRPr="00093E8C">
        <w:rPr>
          <w:rFonts w:ascii="Verdana" w:hAnsi="Verdana"/>
          <w:sz w:val="24"/>
          <w:szCs w:val="24"/>
        </w:rPr>
        <w:t xml:space="preserve"> </w:t>
      </w:r>
      <w:r w:rsidR="00F41894">
        <w:rPr>
          <w:rFonts w:ascii="Verdana" w:hAnsi="Verdana"/>
          <w:sz w:val="24"/>
          <w:szCs w:val="24"/>
        </w:rPr>
        <w:t>scaturisce</w:t>
      </w:r>
      <w:r w:rsidR="00881DD8" w:rsidRPr="00093E8C">
        <w:rPr>
          <w:rFonts w:ascii="Verdana" w:hAnsi="Verdana"/>
          <w:sz w:val="24"/>
          <w:szCs w:val="24"/>
        </w:rPr>
        <w:t xml:space="preserve"> </w:t>
      </w:r>
      <w:r w:rsidR="00F41894">
        <w:rPr>
          <w:rFonts w:ascii="Verdana" w:hAnsi="Verdana"/>
          <w:sz w:val="24"/>
          <w:szCs w:val="24"/>
        </w:rPr>
        <w:t xml:space="preserve">dalla </w:t>
      </w:r>
      <w:r w:rsidR="00474CAB" w:rsidRPr="00093E8C">
        <w:rPr>
          <w:rFonts w:ascii="Verdana" w:hAnsi="Verdana"/>
          <w:sz w:val="24"/>
          <w:szCs w:val="24"/>
        </w:rPr>
        <w:t xml:space="preserve">peculiare strutturazione della </w:t>
      </w:r>
      <w:r w:rsidR="003D5860">
        <w:rPr>
          <w:rFonts w:ascii="Verdana" w:hAnsi="Verdana"/>
          <w:sz w:val="24"/>
          <w:szCs w:val="24"/>
        </w:rPr>
        <w:t xml:space="preserve">disposizione </w:t>
      </w:r>
      <w:r w:rsidR="00881DD8" w:rsidRPr="00093E8C">
        <w:rPr>
          <w:rFonts w:ascii="Verdana" w:hAnsi="Verdana"/>
          <w:sz w:val="24"/>
          <w:szCs w:val="24"/>
        </w:rPr>
        <w:t xml:space="preserve">in </w:t>
      </w:r>
      <w:r w:rsidR="003D5860">
        <w:rPr>
          <w:rFonts w:ascii="Verdana" w:hAnsi="Verdana"/>
          <w:sz w:val="24"/>
          <w:szCs w:val="24"/>
        </w:rPr>
        <w:t>analisi,</w:t>
      </w:r>
      <w:r w:rsidR="00474CAB" w:rsidRPr="00093E8C">
        <w:rPr>
          <w:rFonts w:ascii="Verdana" w:hAnsi="Verdana"/>
          <w:sz w:val="24"/>
          <w:szCs w:val="24"/>
        </w:rPr>
        <w:t xml:space="preserve"> il cui </w:t>
      </w:r>
      <w:r w:rsidR="00474CAB" w:rsidRPr="00093E8C">
        <w:rPr>
          <w:rFonts w:ascii="Verdana" w:hAnsi="Verdana"/>
          <w:i/>
          <w:sz w:val="24"/>
          <w:szCs w:val="24"/>
        </w:rPr>
        <w:t>incipit</w:t>
      </w:r>
      <w:r w:rsidR="00474CAB" w:rsidRPr="00093E8C">
        <w:rPr>
          <w:rFonts w:ascii="Verdana" w:hAnsi="Verdana"/>
          <w:sz w:val="24"/>
          <w:szCs w:val="24"/>
        </w:rPr>
        <w:t xml:space="preserve"> prevede che </w:t>
      </w:r>
      <w:r w:rsidR="00131C30">
        <w:rPr>
          <w:rFonts w:ascii="Verdana" w:hAnsi="Verdana"/>
          <w:sz w:val="24"/>
          <w:szCs w:val="24"/>
        </w:rPr>
        <w:t>&lt;&lt;</w:t>
      </w:r>
      <w:r w:rsidR="00474CAB" w:rsidRPr="00093E8C">
        <w:rPr>
          <w:rFonts w:ascii="Verdana" w:hAnsi="Verdana"/>
          <w:sz w:val="24"/>
          <w:szCs w:val="24"/>
        </w:rPr>
        <w:t xml:space="preserve">quando il pregiudizio di cui all’articolo 69, comma 6, </w:t>
      </w:r>
      <w:proofErr w:type="spellStart"/>
      <w:r w:rsidR="00474CAB" w:rsidRPr="00093E8C">
        <w:rPr>
          <w:rFonts w:ascii="Verdana" w:hAnsi="Verdana"/>
          <w:sz w:val="24"/>
          <w:szCs w:val="24"/>
        </w:rPr>
        <w:t>lett</w:t>
      </w:r>
      <w:proofErr w:type="spellEnd"/>
      <w:r w:rsidR="00474CAB" w:rsidRPr="00093E8C">
        <w:rPr>
          <w:rFonts w:ascii="Verdana" w:hAnsi="Verdana"/>
          <w:sz w:val="24"/>
          <w:szCs w:val="24"/>
        </w:rPr>
        <w:t xml:space="preserve">. b), consiste … in condizioni </w:t>
      </w:r>
      <w:r w:rsidR="00131C30">
        <w:rPr>
          <w:rFonts w:ascii="Verdana" w:hAnsi="Verdana"/>
          <w:sz w:val="24"/>
          <w:szCs w:val="24"/>
        </w:rPr>
        <w:t>di detenzione tali da violare …&gt;&gt;</w:t>
      </w:r>
      <w:r w:rsidR="00474CAB" w:rsidRPr="00093E8C">
        <w:rPr>
          <w:rFonts w:ascii="Verdana" w:hAnsi="Verdana"/>
          <w:sz w:val="24"/>
          <w:szCs w:val="24"/>
        </w:rPr>
        <w:t xml:space="preserve"> l’art.3 C</w:t>
      </w:r>
      <w:r w:rsidR="00F41894">
        <w:rPr>
          <w:rFonts w:ascii="Verdana" w:hAnsi="Verdana"/>
          <w:sz w:val="24"/>
          <w:szCs w:val="24"/>
        </w:rPr>
        <w:t xml:space="preserve">onvenzione europea per la salvaguardia dei diritti dell’Uomo </w:t>
      </w:r>
      <w:r w:rsidR="00474CAB" w:rsidRPr="00093E8C">
        <w:rPr>
          <w:rFonts w:ascii="Verdana" w:hAnsi="Verdana"/>
          <w:sz w:val="24"/>
          <w:szCs w:val="24"/>
        </w:rPr>
        <w:t xml:space="preserve"> </w:t>
      </w:r>
      <w:r w:rsidR="00131C30">
        <w:rPr>
          <w:rFonts w:ascii="Verdana" w:hAnsi="Verdana"/>
          <w:sz w:val="24"/>
          <w:szCs w:val="24"/>
        </w:rPr>
        <w:t>&lt;&lt;</w:t>
      </w:r>
      <w:r w:rsidR="00474CAB" w:rsidRPr="00093E8C">
        <w:rPr>
          <w:rFonts w:ascii="Verdana" w:hAnsi="Verdana"/>
          <w:sz w:val="24"/>
          <w:szCs w:val="24"/>
        </w:rPr>
        <w:t>… il magistrato di sorveglianza dispone, a titolo di risarcimento del danno, una riduzione della pen</w:t>
      </w:r>
      <w:r w:rsidR="00131C30">
        <w:rPr>
          <w:rFonts w:ascii="Verdana" w:hAnsi="Verdana"/>
          <w:sz w:val="24"/>
          <w:szCs w:val="24"/>
        </w:rPr>
        <w:t>a detentiva ancora da espiare …&gt;&gt;</w:t>
      </w:r>
      <w:r w:rsidR="00474CAB" w:rsidRPr="00093E8C">
        <w:rPr>
          <w:rFonts w:ascii="Verdana" w:hAnsi="Verdana"/>
          <w:sz w:val="24"/>
          <w:szCs w:val="24"/>
        </w:rPr>
        <w:t xml:space="preserve"> Il richiamo espresso alla situazione indicata dalla </w:t>
      </w:r>
      <w:proofErr w:type="spellStart"/>
      <w:r w:rsidR="00474CAB" w:rsidRPr="00093E8C">
        <w:rPr>
          <w:rFonts w:ascii="Verdana" w:hAnsi="Verdana"/>
          <w:sz w:val="24"/>
          <w:szCs w:val="24"/>
        </w:rPr>
        <w:t>lett</w:t>
      </w:r>
      <w:proofErr w:type="spellEnd"/>
      <w:r w:rsidR="00474CAB" w:rsidRPr="00093E8C">
        <w:rPr>
          <w:rFonts w:ascii="Verdana" w:hAnsi="Verdana"/>
          <w:sz w:val="24"/>
          <w:szCs w:val="24"/>
        </w:rPr>
        <w:t>. b), co</w:t>
      </w:r>
      <w:r w:rsidR="003D5860">
        <w:rPr>
          <w:rFonts w:ascii="Verdana" w:hAnsi="Verdana"/>
          <w:sz w:val="24"/>
          <w:szCs w:val="24"/>
        </w:rPr>
        <w:t>mma</w:t>
      </w:r>
      <w:r w:rsidR="00474CAB" w:rsidRPr="00093E8C">
        <w:rPr>
          <w:rFonts w:ascii="Verdana" w:hAnsi="Verdana"/>
          <w:sz w:val="24"/>
          <w:szCs w:val="24"/>
        </w:rPr>
        <w:t xml:space="preserve"> 6, art. 69, </w:t>
      </w:r>
      <w:proofErr w:type="spellStart"/>
      <w:r w:rsidR="00474CAB" w:rsidRPr="00093E8C">
        <w:rPr>
          <w:rFonts w:ascii="Verdana" w:hAnsi="Verdana"/>
          <w:sz w:val="24"/>
          <w:szCs w:val="24"/>
        </w:rPr>
        <w:t>ord</w:t>
      </w:r>
      <w:proofErr w:type="spellEnd"/>
      <w:r w:rsidR="00474CAB" w:rsidRPr="00093E8C">
        <w:rPr>
          <w:rFonts w:ascii="Verdana" w:hAnsi="Verdana"/>
          <w:sz w:val="24"/>
          <w:szCs w:val="24"/>
        </w:rPr>
        <w:t xml:space="preserve">. </w:t>
      </w:r>
      <w:proofErr w:type="spellStart"/>
      <w:proofErr w:type="gramStart"/>
      <w:r w:rsidR="00881DD8" w:rsidRPr="00093E8C">
        <w:rPr>
          <w:rFonts w:ascii="Verdana" w:hAnsi="Verdana"/>
          <w:sz w:val="24"/>
          <w:szCs w:val="24"/>
        </w:rPr>
        <w:t>penit</w:t>
      </w:r>
      <w:proofErr w:type="spellEnd"/>
      <w:proofErr w:type="gramEnd"/>
      <w:r w:rsidR="00881DD8" w:rsidRPr="00093E8C">
        <w:rPr>
          <w:rFonts w:ascii="Verdana" w:hAnsi="Verdana"/>
          <w:sz w:val="24"/>
          <w:szCs w:val="24"/>
        </w:rPr>
        <w:t xml:space="preserve">. </w:t>
      </w:r>
      <w:proofErr w:type="gramStart"/>
      <w:r w:rsidR="00881DD8" w:rsidRPr="00093E8C">
        <w:rPr>
          <w:rFonts w:ascii="Verdana" w:hAnsi="Verdana"/>
          <w:sz w:val="24"/>
          <w:szCs w:val="24"/>
        </w:rPr>
        <w:t>e</w:t>
      </w:r>
      <w:proofErr w:type="gramEnd"/>
      <w:r w:rsidR="00881DD8" w:rsidRPr="00093E8C">
        <w:rPr>
          <w:rFonts w:ascii="Verdana" w:hAnsi="Verdana"/>
          <w:sz w:val="24"/>
          <w:szCs w:val="24"/>
        </w:rPr>
        <w:t xml:space="preserve"> quindi</w:t>
      </w:r>
      <w:r w:rsidR="00F41894">
        <w:rPr>
          <w:rFonts w:ascii="Verdana" w:hAnsi="Verdana"/>
          <w:sz w:val="24"/>
          <w:szCs w:val="24"/>
        </w:rPr>
        <w:t xml:space="preserve">, testualmente, </w:t>
      </w:r>
      <w:r w:rsidR="00881DD8" w:rsidRPr="00093E8C">
        <w:rPr>
          <w:rFonts w:ascii="Verdana" w:hAnsi="Verdana"/>
          <w:sz w:val="24"/>
          <w:szCs w:val="24"/>
        </w:rPr>
        <w:t xml:space="preserve"> alla</w:t>
      </w:r>
      <w:r w:rsidR="00474CAB" w:rsidRPr="00093E8C">
        <w:rPr>
          <w:rFonts w:ascii="Verdana" w:hAnsi="Verdana"/>
          <w:sz w:val="24"/>
          <w:szCs w:val="24"/>
        </w:rPr>
        <w:t xml:space="preserve"> “attualità” (oltre che alla “gravità”) del pregiudizio sofferto dal soggetto detenuto e la declinazione al tempo presente del verbo (“dispone”) ha, infatti, dato luogo</w:t>
      </w:r>
      <w:r w:rsidR="00F17DED">
        <w:rPr>
          <w:rFonts w:ascii="Verdana" w:hAnsi="Verdana"/>
          <w:sz w:val="24"/>
          <w:szCs w:val="24"/>
        </w:rPr>
        <w:t xml:space="preserve">, in dottrina e, specularmente, </w:t>
      </w:r>
      <w:r w:rsidR="00881DD8" w:rsidRPr="00093E8C">
        <w:rPr>
          <w:rFonts w:ascii="Verdana" w:hAnsi="Verdana"/>
          <w:sz w:val="24"/>
          <w:szCs w:val="24"/>
        </w:rPr>
        <w:t>nella giurisprudenza di merito,</w:t>
      </w:r>
      <w:r w:rsidR="00474CAB" w:rsidRPr="00093E8C">
        <w:rPr>
          <w:rFonts w:ascii="Verdana" w:hAnsi="Verdana"/>
          <w:sz w:val="24"/>
          <w:szCs w:val="24"/>
        </w:rPr>
        <w:t xml:space="preserve"> a due</w:t>
      </w:r>
      <w:r w:rsidR="00F41894">
        <w:rPr>
          <w:rFonts w:ascii="Verdana" w:hAnsi="Verdana"/>
          <w:sz w:val="24"/>
          <w:szCs w:val="24"/>
        </w:rPr>
        <w:t xml:space="preserve"> letture</w:t>
      </w:r>
      <w:r w:rsidR="00474CAB" w:rsidRPr="00093E8C">
        <w:rPr>
          <w:rFonts w:ascii="Verdana" w:hAnsi="Verdana"/>
          <w:sz w:val="24"/>
          <w:szCs w:val="24"/>
        </w:rPr>
        <w:t xml:space="preserve"> </w:t>
      </w:r>
      <w:r w:rsidR="00881DD8" w:rsidRPr="00093E8C">
        <w:rPr>
          <w:rFonts w:ascii="Verdana" w:hAnsi="Verdana"/>
          <w:sz w:val="24"/>
          <w:szCs w:val="24"/>
        </w:rPr>
        <w:t xml:space="preserve">opposte </w:t>
      </w:r>
      <w:r w:rsidR="00474CAB" w:rsidRPr="00093E8C">
        <w:rPr>
          <w:rFonts w:ascii="Verdana" w:hAnsi="Verdana"/>
          <w:sz w:val="24"/>
          <w:szCs w:val="24"/>
        </w:rPr>
        <w:t>con riguardo al</w:t>
      </w:r>
      <w:r w:rsidR="00F41894">
        <w:rPr>
          <w:rFonts w:ascii="Verdana" w:hAnsi="Verdana"/>
          <w:sz w:val="24"/>
          <w:szCs w:val="24"/>
        </w:rPr>
        <w:t>la natura e alla portata di</w:t>
      </w:r>
      <w:r w:rsidR="00474CAB" w:rsidRPr="00093E8C">
        <w:rPr>
          <w:rFonts w:ascii="Verdana" w:hAnsi="Verdana"/>
          <w:sz w:val="24"/>
          <w:szCs w:val="24"/>
        </w:rPr>
        <w:t xml:space="preserve"> detto rinvio</w:t>
      </w:r>
      <w:r w:rsidR="00A71485">
        <w:rPr>
          <w:rStyle w:val="Rimandonotaapidipagina"/>
          <w:rFonts w:ascii="Verdana" w:hAnsi="Verdana"/>
          <w:sz w:val="24"/>
          <w:szCs w:val="24"/>
        </w:rPr>
        <w:footnoteReference w:id="4"/>
      </w:r>
      <w:r w:rsidR="00474CAB" w:rsidRPr="00093E8C">
        <w:rPr>
          <w:rFonts w:ascii="Verdana" w:hAnsi="Verdana"/>
          <w:sz w:val="24"/>
          <w:szCs w:val="24"/>
        </w:rPr>
        <w:t xml:space="preserve">. </w:t>
      </w:r>
    </w:p>
    <w:p w:rsidR="00746EB6" w:rsidRDefault="00093E8C" w:rsidP="00746EB6">
      <w:pPr>
        <w:spacing w:after="0" w:line="360" w:lineRule="auto"/>
        <w:ind w:firstLine="708"/>
        <w:jc w:val="both"/>
        <w:rPr>
          <w:rFonts w:ascii="Verdana" w:hAnsi="Verdana"/>
          <w:sz w:val="24"/>
          <w:szCs w:val="24"/>
        </w:rPr>
      </w:pPr>
      <w:r>
        <w:rPr>
          <w:rFonts w:ascii="Verdana" w:hAnsi="Verdana"/>
          <w:sz w:val="24"/>
          <w:szCs w:val="24"/>
        </w:rPr>
        <w:t>Secondo u</w:t>
      </w:r>
      <w:r w:rsidR="00474CAB" w:rsidRPr="00093E8C">
        <w:rPr>
          <w:rFonts w:ascii="Verdana" w:hAnsi="Verdana"/>
          <w:sz w:val="24"/>
          <w:szCs w:val="24"/>
        </w:rPr>
        <w:t xml:space="preserve">na prima interpretazione – recepita anche dal C.S.M. nel parere reso al </w:t>
      </w:r>
      <w:proofErr w:type="spellStart"/>
      <w:r w:rsidR="00474CAB" w:rsidRPr="00093E8C">
        <w:rPr>
          <w:rFonts w:ascii="Verdana" w:hAnsi="Verdana"/>
          <w:sz w:val="24"/>
          <w:szCs w:val="24"/>
        </w:rPr>
        <w:t>d.d.l.</w:t>
      </w:r>
      <w:proofErr w:type="spellEnd"/>
      <w:r w:rsidR="00474CAB" w:rsidRPr="00093E8C">
        <w:rPr>
          <w:rFonts w:ascii="Verdana" w:hAnsi="Verdana"/>
          <w:sz w:val="24"/>
          <w:szCs w:val="24"/>
        </w:rPr>
        <w:t xml:space="preserve"> di conversione del </w:t>
      </w:r>
      <w:proofErr w:type="spellStart"/>
      <w:r w:rsidR="00474CAB" w:rsidRPr="00093E8C">
        <w:rPr>
          <w:rFonts w:ascii="Verdana" w:hAnsi="Verdana"/>
          <w:sz w:val="24"/>
          <w:szCs w:val="24"/>
        </w:rPr>
        <w:t>d.l.</w:t>
      </w:r>
      <w:proofErr w:type="spellEnd"/>
      <w:r w:rsidR="00474CAB" w:rsidRPr="00093E8C">
        <w:rPr>
          <w:rFonts w:ascii="Verdana" w:hAnsi="Verdana"/>
          <w:sz w:val="24"/>
          <w:szCs w:val="24"/>
        </w:rPr>
        <w:t xml:space="preserve"> 92/2014 e da una parte della giurisprudenza di merito</w:t>
      </w:r>
      <w:r>
        <w:rPr>
          <w:rStyle w:val="Rimandonotaapidipagina"/>
          <w:rFonts w:ascii="Verdana" w:hAnsi="Verdana"/>
          <w:sz w:val="24"/>
          <w:szCs w:val="24"/>
        </w:rPr>
        <w:footnoteReference w:id="5"/>
      </w:r>
      <w:r w:rsidR="00F41894">
        <w:rPr>
          <w:rFonts w:ascii="Verdana" w:hAnsi="Verdana"/>
          <w:sz w:val="24"/>
          <w:szCs w:val="24"/>
        </w:rPr>
        <w:t xml:space="preserve"> - </w:t>
      </w:r>
      <w:r w:rsidR="00474CAB" w:rsidRPr="00093E8C">
        <w:rPr>
          <w:rFonts w:ascii="Verdana" w:hAnsi="Verdana"/>
          <w:sz w:val="24"/>
          <w:szCs w:val="24"/>
        </w:rPr>
        <w:t>fonda</w:t>
      </w:r>
      <w:r w:rsidR="00F41894">
        <w:rPr>
          <w:rFonts w:ascii="Verdana" w:hAnsi="Verdana"/>
          <w:sz w:val="24"/>
          <w:szCs w:val="24"/>
        </w:rPr>
        <w:t>ta</w:t>
      </w:r>
      <w:r w:rsidR="00474CAB" w:rsidRPr="00093E8C">
        <w:rPr>
          <w:rFonts w:ascii="Verdana" w:hAnsi="Verdana"/>
          <w:sz w:val="24"/>
          <w:szCs w:val="24"/>
        </w:rPr>
        <w:t xml:space="preserve"> “</w:t>
      </w:r>
      <w:r w:rsidR="00474CAB" w:rsidRPr="00093E8C">
        <w:rPr>
          <w:rFonts w:ascii="Verdana" w:hAnsi="Verdana"/>
          <w:bCs/>
          <w:sz w:val="24"/>
          <w:szCs w:val="24"/>
        </w:rPr>
        <w:t>su un non trascurabile dato letterale</w:t>
      </w:r>
      <w:r>
        <w:rPr>
          <w:rFonts w:ascii="Verdana" w:hAnsi="Verdana"/>
          <w:bCs/>
          <w:sz w:val="24"/>
          <w:szCs w:val="24"/>
        </w:rPr>
        <w:t>”</w:t>
      </w:r>
      <w:r>
        <w:rPr>
          <w:rStyle w:val="Rimandonotaapidipagina"/>
          <w:rFonts w:ascii="Verdana" w:hAnsi="Verdana"/>
          <w:bCs/>
          <w:sz w:val="24"/>
          <w:szCs w:val="24"/>
        </w:rPr>
        <w:footnoteReference w:id="6"/>
      </w:r>
      <w:r>
        <w:rPr>
          <w:rFonts w:ascii="Verdana" w:hAnsi="Verdana"/>
          <w:bCs/>
          <w:sz w:val="24"/>
          <w:szCs w:val="24"/>
        </w:rPr>
        <w:t>, il richiamo al</w:t>
      </w:r>
      <w:r w:rsidR="003D5860">
        <w:rPr>
          <w:rFonts w:ascii="Verdana" w:hAnsi="Verdana"/>
          <w:bCs/>
          <w:sz w:val="24"/>
          <w:szCs w:val="24"/>
        </w:rPr>
        <w:t xml:space="preserve"> </w:t>
      </w:r>
      <w:r w:rsidR="003D5860">
        <w:rPr>
          <w:rFonts w:ascii="Verdana" w:hAnsi="Verdana"/>
          <w:bCs/>
          <w:sz w:val="24"/>
          <w:szCs w:val="24"/>
        </w:rPr>
        <w:lastRenderedPageBreak/>
        <w:t>“</w:t>
      </w:r>
      <w:r w:rsidR="00474CAB" w:rsidRPr="00093E8C">
        <w:rPr>
          <w:rFonts w:ascii="Verdana" w:hAnsi="Verdana"/>
          <w:bCs/>
          <w:sz w:val="24"/>
          <w:szCs w:val="24"/>
        </w:rPr>
        <w:t>pregiudizio di cui all’art.69</w:t>
      </w:r>
      <w:r w:rsidR="003D5860">
        <w:rPr>
          <w:rFonts w:ascii="Verdana" w:hAnsi="Verdana"/>
          <w:bCs/>
          <w:sz w:val="24"/>
          <w:szCs w:val="24"/>
        </w:rPr>
        <w:t>,</w:t>
      </w:r>
      <w:r w:rsidR="00474CAB" w:rsidRPr="00093E8C">
        <w:rPr>
          <w:rFonts w:ascii="Verdana" w:hAnsi="Verdana"/>
          <w:bCs/>
          <w:sz w:val="24"/>
          <w:szCs w:val="24"/>
        </w:rPr>
        <w:t xml:space="preserve"> comma 6, </w:t>
      </w:r>
      <w:proofErr w:type="spellStart"/>
      <w:r w:rsidR="00474CAB" w:rsidRPr="00093E8C">
        <w:rPr>
          <w:rFonts w:ascii="Verdana" w:hAnsi="Verdana"/>
          <w:bCs/>
          <w:sz w:val="24"/>
          <w:szCs w:val="24"/>
        </w:rPr>
        <w:t>lett</w:t>
      </w:r>
      <w:proofErr w:type="spellEnd"/>
      <w:r w:rsidR="00474CAB" w:rsidRPr="00093E8C">
        <w:rPr>
          <w:rFonts w:ascii="Verdana" w:hAnsi="Verdana"/>
          <w:bCs/>
          <w:sz w:val="24"/>
          <w:szCs w:val="24"/>
        </w:rPr>
        <w:t xml:space="preserve">. </w:t>
      </w:r>
      <w:r w:rsidR="00474CAB" w:rsidRPr="00093E8C">
        <w:rPr>
          <w:rFonts w:ascii="Verdana" w:hAnsi="Verdana"/>
          <w:bCs/>
          <w:i/>
          <w:sz w:val="24"/>
          <w:szCs w:val="24"/>
        </w:rPr>
        <w:t>b</w:t>
      </w:r>
      <w:r w:rsidR="00474CAB" w:rsidRPr="00093E8C">
        <w:rPr>
          <w:rFonts w:ascii="Verdana" w:hAnsi="Verdana"/>
          <w:bCs/>
          <w:sz w:val="24"/>
          <w:szCs w:val="24"/>
        </w:rPr>
        <w:t>)</w:t>
      </w:r>
      <w:r w:rsidR="003D5860">
        <w:rPr>
          <w:rFonts w:ascii="Verdana" w:hAnsi="Verdana"/>
          <w:bCs/>
          <w:sz w:val="24"/>
          <w:szCs w:val="24"/>
        </w:rPr>
        <w:t>”</w:t>
      </w:r>
      <w:r w:rsidR="00474CAB" w:rsidRPr="00093E8C">
        <w:rPr>
          <w:rFonts w:ascii="Verdana" w:hAnsi="Verdana"/>
          <w:bCs/>
          <w:sz w:val="24"/>
          <w:szCs w:val="24"/>
        </w:rPr>
        <w:t xml:space="preserve"> </w:t>
      </w:r>
      <w:proofErr w:type="spellStart"/>
      <w:r w:rsidR="00474CAB" w:rsidRPr="00093E8C">
        <w:rPr>
          <w:rFonts w:ascii="Verdana" w:hAnsi="Verdana"/>
          <w:bCs/>
          <w:sz w:val="24"/>
          <w:szCs w:val="24"/>
        </w:rPr>
        <w:t>ord</w:t>
      </w:r>
      <w:proofErr w:type="spellEnd"/>
      <w:r w:rsidR="00474CAB" w:rsidRPr="00093E8C">
        <w:rPr>
          <w:rFonts w:ascii="Verdana" w:hAnsi="Verdana"/>
          <w:bCs/>
          <w:sz w:val="24"/>
          <w:szCs w:val="24"/>
        </w:rPr>
        <w:t xml:space="preserve">. </w:t>
      </w:r>
      <w:proofErr w:type="spellStart"/>
      <w:proofErr w:type="gramStart"/>
      <w:r w:rsidR="00474CAB" w:rsidRPr="00093E8C">
        <w:rPr>
          <w:rFonts w:ascii="Verdana" w:hAnsi="Verdana"/>
          <w:bCs/>
          <w:sz w:val="24"/>
          <w:szCs w:val="24"/>
        </w:rPr>
        <w:t>penit</w:t>
      </w:r>
      <w:proofErr w:type="spellEnd"/>
      <w:r w:rsidR="00474CAB" w:rsidRPr="00093E8C">
        <w:rPr>
          <w:rFonts w:ascii="Verdana" w:hAnsi="Verdana"/>
          <w:bCs/>
          <w:sz w:val="24"/>
          <w:szCs w:val="24"/>
        </w:rPr>
        <w:t>.</w:t>
      </w:r>
      <w:r w:rsidR="003D5860">
        <w:rPr>
          <w:rFonts w:ascii="Verdana" w:hAnsi="Verdana"/>
          <w:bCs/>
          <w:sz w:val="24"/>
          <w:szCs w:val="24"/>
        </w:rPr>
        <w:t>,</w:t>
      </w:r>
      <w:proofErr w:type="gramEnd"/>
      <w:r w:rsidR="00474CAB" w:rsidRPr="00093E8C">
        <w:rPr>
          <w:rFonts w:ascii="Verdana" w:hAnsi="Verdana"/>
          <w:bCs/>
          <w:sz w:val="24"/>
          <w:szCs w:val="24"/>
        </w:rPr>
        <w:t xml:space="preserve"> </w:t>
      </w:r>
      <w:r w:rsidR="00474CAB" w:rsidRPr="00093E8C">
        <w:rPr>
          <w:rFonts w:ascii="Verdana" w:hAnsi="Verdana"/>
          <w:sz w:val="24"/>
          <w:szCs w:val="24"/>
        </w:rPr>
        <w:t>identific</w:t>
      </w:r>
      <w:r>
        <w:rPr>
          <w:rFonts w:ascii="Verdana" w:hAnsi="Verdana"/>
          <w:sz w:val="24"/>
          <w:szCs w:val="24"/>
        </w:rPr>
        <w:t xml:space="preserve">herebbe un </w:t>
      </w:r>
      <w:r w:rsidR="00474CAB" w:rsidRPr="00093E8C">
        <w:rPr>
          <w:rFonts w:ascii="Verdana" w:hAnsi="Verdana"/>
          <w:sz w:val="24"/>
          <w:szCs w:val="24"/>
        </w:rPr>
        <w:t>presupposto dell’azione risarcitoria</w:t>
      </w:r>
      <w:r>
        <w:rPr>
          <w:rFonts w:ascii="Verdana" w:hAnsi="Verdana"/>
          <w:sz w:val="24"/>
          <w:szCs w:val="24"/>
        </w:rPr>
        <w:t xml:space="preserve">, che potrebbe </w:t>
      </w:r>
      <w:r w:rsidR="00F41894">
        <w:rPr>
          <w:rFonts w:ascii="Verdana" w:hAnsi="Verdana"/>
          <w:sz w:val="24"/>
          <w:szCs w:val="24"/>
        </w:rPr>
        <w:t>riferirsi</w:t>
      </w:r>
      <w:r>
        <w:rPr>
          <w:rFonts w:ascii="Verdana" w:hAnsi="Verdana"/>
          <w:sz w:val="24"/>
          <w:szCs w:val="24"/>
        </w:rPr>
        <w:t xml:space="preserve">, dunque, soltanto </w:t>
      </w:r>
      <w:r w:rsidR="00F41894">
        <w:rPr>
          <w:rFonts w:ascii="Verdana" w:hAnsi="Verdana"/>
          <w:sz w:val="24"/>
          <w:szCs w:val="24"/>
        </w:rPr>
        <w:t>a</w:t>
      </w:r>
      <w:r>
        <w:rPr>
          <w:rFonts w:ascii="Verdana" w:hAnsi="Verdana"/>
          <w:sz w:val="24"/>
          <w:szCs w:val="24"/>
        </w:rPr>
        <w:t xml:space="preserve">  situazioni di accertato pregiudizio “grave e attuale”</w:t>
      </w:r>
      <w:r w:rsidR="00474CAB" w:rsidRPr="00093E8C">
        <w:rPr>
          <w:rFonts w:ascii="Verdana" w:hAnsi="Verdana"/>
          <w:sz w:val="24"/>
          <w:szCs w:val="24"/>
        </w:rPr>
        <w:t>, sussistente, cioè, sia al momento della proposizione del ricorso da parte del detenuto interessato che della relativa decisione</w:t>
      </w:r>
      <w:r>
        <w:rPr>
          <w:rStyle w:val="Rimandonotaapidipagina"/>
          <w:rFonts w:ascii="Verdana" w:hAnsi="Verdana"/>
          <w:sz w:val="24"/>
          <w:szCs w:val="24"/>
        </w:rPr>
        <w:footnoteReference w:id="7"/>
      </w:r>
      <w:r>
        <w:rPr>
          <w:rFonts w:ascii="Verdana" w:hAnsi="Verdana"/>
          <w:sz w:val="24"/>
          <w:szCs w:val="24"/>
        </w:rPr>
        <w:t>.</w:t>
      </w:r>
      <w:r w:rsidR="00474CAB" w:rsidRPr="00093E8C">
        <w:rPr>
          <w:rFonts w:ascii="Verdana" w:hAnsi="Verdana"/>
          <w:sz w:val="24"/>
          <w:szCs w:val="24"/>
        </w:rPr>
        <w:t xml:space="preserve"> </w:t>
      </w:r>
    </w:p>
    <w:p w:rsidR="00746EB6" w:rsidRDefault="00474CAB" w:rsidP="00746EB6">
      <w:pPr>
        <w:spacing w:after="0" w:line="360" w:lineRule="auto"/>
        <w:ind w:firstLine="708"/>
        <w:jc w:val="both"/>
        <w:rPr>
          <w:rFonts w:ascii="Verdana" w:hAnsi="Verdana"/>
          <w:bCs/>
          <w:sz w:val="24"/>
          <w:szCs w:val="24"/>
        </w:rPr>
      </w:pPr>
      <w:r w:rsidRPr="00093E8C">
        <w:rPr>
          <w:rFonts w:ascii="Verdana" w:hAnsi="Verdana"/>
          <w:sz w:val="24"/>
          <w:szCs w:val="24"/>
        </w:rPr>
        <w:t>Rimarrebbero</w:t>
      </w:r>
      <w:r w:rsidR="00F17DED">
        <w:rPr>
          <w:rFonts w:ascii="Verdana" w:hAnsi="Verdana"/>
          <w:sz w:val="24"/>
          <w:szCs w:val="24"/>
        </w:rPr>
        <w:t xml:space="preserve"> – secondo tale prima </w:t>
      </w:r>
      <w:r w:rsidR="00F41894">
        <w:rPr>
          <w:rFonts w:ascii="Verdana" w:hAnsi="Verdana"/>
          <w:sz w:val="24"/>
          <w:szCs w:val="24"/>
        </w:rPr>
        <w:t>impostazione</w:t>
      </w:r>
      <w:r w:rsidR="00F17DED">
        <w:rPr>
          <w:rFonts w:ascii="Verdana" w:hAnsi="Verdana"/>
          <w:sz w:val="24"/>
          <w:szCs w:val="24"/>
        </w:rPr>
        <w:t xml:space="preserve"> - </w:t>
      </w:r>
      <w:r w:rsidRPr="00093E8C">
        <w:rPr>
          <w:rFonts w:ascii="Verdana" w:hAnsi="Verdana"/>
          <w:sz w:val="24"/>
          <w:szCs w:val="24"/>
        </w:rPr>
        <w:t xml:space="preserve">esclusi dalla tutela </w:t>
      </w:r>
      <w:r w:rsidR="00F17DED">
        <w:rPr>
          <w:rFonts w:ascii="Verdana" w:hAnsi="Verdana"/>
          <w:sz w:val="24"/>
          <w:szCs w:val="24"/>
        </w:rPr>
        <w:t xml:space="preserve">speciale </w:t>
      </w:r>
      <w:r w:rsidRPr="00093E8C">
        <w:rPr>
          <w:rFonts w:ascii="Verdana" w:hAnsi="Verdana"/>
          <w:sz w:val="24"/>
          <w:szCs w:val="24"/>
        </w:rPr>
        <w:t>innanzi al</w:t>
      </w:r>
      <w:r w:rsidR="00F17DED">
        <w:rPr>
          <w:rFonts w:ascii="Verdana" w:hAnsi="Verdana"/>
          <w:sz w:val="24"/>
          <w:szCs w:val="24"/>
        </w:rPr>
        <w:t>la</w:t>
      </w:r>
      <w:r w:rsidRPr="00093E8C">
        <w:rPr>
          <w:rFonts w:ascii="Verdana" w:hAnsi="Verdana"/>
          <w:sz w:val="24"/>
          <w:szCs w:val="24"/>
        </w:rPr>
        <w:t xml:space="preserve"> mag</w:t>
      </w:r>
      <w:r w:rsidR="00F17DED">
        <w:rPr>
          <w:rFonts w:ascii="Verdana" w:hAnsi="Verdana"/>
          <w:sz w:val="24"/>
          <w:szCs w:val="24"/>
        </w:rPr>
        <w:t xml:space="preserve">istratura di </w:t>
      </w:r>
      <w:r w:rsidRPr="00093E8C">
        <w:rPr>
          <w:rFonts w:ascii="Verdana" w:hAnsi="Verdana"/>
          <w:sz w:val="24"/>
          <w:szCs w:val="24"/>
        </w:rPr>
        <w:t>sorv</w:t>
      </w:r>
      <w:r w:rsidR="00F17DED">
        <w:rPr>
          <w:rFonts w:ascii="Verdana" w:hAnsi="Verdana"/>
          <w:sz w:val="24"/>
          <w:szCs w:val="24"/>
        </w:rPr>
        <w:t>eglianza</w:t>
      </w:r>
      <w:r w:rsidR="00D00C56">
        <w:rPr>
          <w:rFonts w:ascii="Verdana" w:hAnsi="Verdana"/>
          <w:sz w:val="24"/>
          <w:szCs w:val="24"/>
        </w:rPr>
        <w:t>,</w:t>
      </w:r>
      <w:r w:rsidR="00F17DED">
        <w:rPr>
          <w:rFonts w:ascii="Verdana" w:hAnsi="Verdana"/>
          <w:sz w:val="24"/>
          <w:szCs w:val="24"/>
        </w:rPr>
        <w:t xml:space="preserve"> </w:t>
      </w:r>
      <w:r w:rsidRPr="00093E8C">
        <w:rPr>
          <w:rFonts w:ascii="Verdana" w:hAnsi="Verdana"/>
          <w:sz w:val="24"/>
          <w:szCs w:val="24"/>
        </w:rPr>
        <w:t xml:space="preserve">per rientrare nella  competenza risarcitoria </w:t>
      </w:r>
      <w:r w:rsidR="00D00C56">
        <w:rPr>
          <w:rFonts w:ascii="Verdana" w:hAnsi="Verdana"/>
          <w:sz w:val="24"/>
          <w:szCs w:val="24"/>
        </w:rPr>
        <w:t xml:space="preserve">ordinaria </w:t>
      </w:r>
      <w:r w:rsidRPr="00093E8C">
        <w:rPr>
          <w:rFonts w:ascii="Verdana" w:hAnsi="Verdana"/>
          <w:sz w:val="24"/>
          <w:szCs w:val="24"/>
        </w:rPr>
        <w:t>attribuita al giudice civile</w:t>
      </w:r>
      <w:r w:rsidR="00D00C56">
        <w:rPr>
          <w:rFonts w:ascii="Verdana" w:hAnsi="Verdana"/>
          <w:sz w:val="24"/>
          <w:szCs w:val="24"/>
        </w:rPr>
        <w:t>,</w:t>
      </w:r>
      <w:r w:rsidRPr="00093E8C">
        <w:rPr>
          <w:rFonts w:ascii="Verdana" w:hAnsi="Verdana"/>
          <w:sz w:val="24"/>
          <w:szCs w:val="24"/>
        </w:rPr>
        <w:t xml:space="preserve"> tan</w:t>
      </w:r>
      <w:r w:rsidRPr="00093E8C">
        <w:rPr>
          <w:rFonts w:ascii="Verdana" w:hAnsi="Verdana"/>
          <w:bCs/>
          <w:sz w:val="24"/>
          <w:szCs w:val="24"/>
        </w:rPr>
        <w:t>to i trattamenti detentivi inumani e degradanti subìti da un soggetto in relazione a esecuzioni penali pregresse rispetto all</w:t>
      </w:r>
      <w:r w:rsidR="00F41894">
        <w:rPr>
          <w:rFonts w:ascii="Verdana" w:hAnsi="Verdana"/>
          <w:bCs/>
          <w:sz w:val="24"/>
          <w:szCs w:val="24"/>
        </w:rPr>
        <w:t xml:space="preserve">a detenzione riferibile al titolo esecutivo in </w:t>
      </w:r>
      <w:r w:rsidRPr="00093E8C">
        <w:rPr>
          <w:rFonts w:ascii="Verdana" w:hAnsi="Verdana"/>
          <w:bCs/>
          <w:sz w:val="24"/>
          <w:szCs w:val="24"/>
        </w:rPr>
        <w:t xml:space="preserve">attuale </w:t>
      </w:r>
      <w:r w:rsidR="00F41894">
        <w:rPr>
          <w:rFonts w:ascii="Verdana" w:hAnsi="Verdana"/>
          <w:bCs/>
          <w:sz w:val="24"/>
          <w:szCs w:val="24"/>
        </w:rPr>
        <w:t xml:space="preserve">espiazione </w:t>
      </w:r>
      <w:r w:rsidRPr="00093E8C">
        <w:rPr>
          <w:rFonts w:ascii="Verdana" w:hAnsi="Verdana"/>
          <w:bCs/>
          <w:sz w:val="24"/>
          <w:szCs w:val="24"/>
        </w:rPr>
        <w:t xml:space="preserve">o, comunque, a pene già integralmente espiate; quanto </w:t>
      </w:r>
      <w:r w:rsidR="00F41894">
        <w:rPr>
          <w:rFonts w:ascii="Verdana" w:hAnsi="Verdana"/>
          <w:bCs/>
          <w:sz w:val="24"/>
          <w:szCs w:val="24"/>
        </w:rPr>
        <w:t>i</w:t>
      </w:r>
      <w:r w:rsidR="00D00C56">
        <w:rPr>
          <w:rFonts w:ascii="Verdana" w:hAnsi="Verdana"/>
          <w:bCs/>
          <w:sz w:val="24"/>
          <w:szCs w:val="24"/>
        </w:rPr>
        <w:t>l</w:t>
      </w:r>
      <w:r w:rsidRPr="00093E8C">
        <w:rPr>
          <w:rFonts w:ascii="Verdana" w:hAnsi="Verdana"/>
          <w:bCs/>
          <w:sz w:val="24"/>
          <w:szCs w:val="24"/>
        </w:rPr>
        <w:t xml:space="preserve"> pregiudizi</w:t>
      </w:r>
      <w:r w:rsidR="00D00C56">
        <w:rPr>
          <w:rFonts w:ascii="Verdana" w:hAnsi="Verdana"/>
          <w:bCs/>
          <w:sz w:val="24"/>
          <w:szCs w:val="24"/>
        </w:rPr>
        <w:t>o</w:t>
      </w:r>
      <w:r w:rsidRPr="00093E8C">
        <w:rPr>
          <w:rFonts w:ascii="Verdana" w:hAnsi="Verdana"/>
          <w:bCs/>
          <w:sz w:val="24"/>
          <w:szCs w:val="24"/>
        </w:rPr>
        <w:t xml:space="preserve"> che, pur riferibil</w:t>
      </w:r>
      <w:r w:rsidR="00D00C56">
        <w:rPr>
          <w:rFonts w:ascii="Verdana" w:hAnsi="Verdana"/>
          <w:bCs/>
          <w:sz w:val="24"/>
          <w:szCs w:val="24"/>
        </w:rPr>
        <w:t>e</w:t>
      </w:r>
      <w:r w:rsidRPr="00093E8C">
        <w:rPr>
          <w:rFonts w:ascii="Verdana" w:hAnsi="Verdana"/>
          <w:bCs/>
          <w:sz w:val="24"/>
          <w:szCs w:val="24"/>
        </w:rPr>
        <w:t xml:space="preserve"> alla detenzione in corso di esecuzione, non sia, tuttavia, più “attual</w:t>
      </w:r>
      <w:r w:rsidR="00D00C56">
        <w:rPr>
          <w:rFonts w:ascii="Verdana" w:hAnsi="Verdana"/>
          <w:bCs/>
          <w:sz w:val="24"/>
          <w:szCs w:val="24"/>
        </w:rPr>
        <w:t>e</w:t>
      </w:r>
      <w:r w:rsidRPr="00093E8C">
        <w:rPr>
          <w:rFonts w:ascii="Verdana" w:hAnsi="Verdana"/>
          <w:bCs/>
          <w:sz w:val="24"/>
          <w:szCs w:val="24"/>
        </w:rPr>
        <w:t xml:space="preserve">” al momento della decisione del giudice, poiché </w:t>
      </w:r>
      <w:r w:rsidR="00D00C56">
        <w:rPr>
          <w:rFonts w:ascii="Verdana" w:hAnsi="Verdana"/>
          <w:bCs/>
          <w:sz w:val="24"/>
          <w:szCs w:val="24"/>
        </w:rPr>
        <w:t>nel frattempo venuto meno per l’intervento del magistrato di sorveglianza ai sensi dell’art.35-</w:t>
      </w:r>
      <w:r w:rsidR="00D00C56" w:rsidRPr="00D00C56">
        <w:rPr>
          <w:rFonts w:ascii="Verdana" w:hAnsi="Verdana"/>
          <w:bCs/>
          <w:i/>
          <w:sz w:val="24"/>
          <w:szCs w:val="24"/>
        </w:rPr>
        <w:t>bis</w:t>
      </w:r>
      <w:r w:rsidR="00D00C56">
        <w:rPr>
          <w:rFonts w:ascii="Verdana" w:hAnsi="Verdana"/>
          <w:bCs/>
          <w:sz w:val="24"/>
          <w:szCs w:val="24"/>
        </w:rPr>
        <w:t xml:space="preserve">, </w:t>
      </w:r>
      <w:proofErr w:type="spellStart"/>
      <w:r w:rsidR="00D00C56">
        <w:rPr>
          <w:rFonts w:ascii="Verdana" w:hAnsi="Verdana"/>
          <w:bCs/>
          <w:sz w:val="24"/>
          <w:szCs w:val="24"/>
        </w:rPr>
        <w:t>ord</w:t>
      </w:r>
      <w:proofErr w:type="spellEnd"/>
      <w:r w:rsidR="00D00C56">
        <w:rPr>
          <w:rFonts w:ascii="Verdana" w:hAnsi="Verdana"/>
          <w:bCs/>
          <w:sz w:val="24"/>
          <w:szCs w:val="24"/>
        </w:rPr>
        <w:t xml:space="preserve">. </w:t>
      </w:r>
      <w:proofErr w:type="spellStart"/>
      <w:proofErr w:type="gramStart"/>
      <w:r w:rsidR="00D00C56">
        <w:rPr>
          <w:rFonts w:ascii="Verdana" w:hAnsi="Verdana"/>
          <w:bCs/>
          <w:sz w:val="24"/>
          <w:szCs w:val="24"/>
        </w:rPr>
        <w:t>penit</w:t>
      </w:r>
      <w:proofErr w:type="spellEnd"/>
      <w:r w:rsidR="00D00C56">
        <w:rPr>
          <w:rFonts w:ascii="Verdana" w:hAnsi="Verdana"/>
          <w:bCs/>
          <w:sz w:val="24"/>
          <w:szCs w:val="24"/>
        </w:rPr>
        <w:t>.,</w:t>
      </w:r>
      <w:proofErr w:type="gramEnd"/>
      <w:r w:rsidR="00D00C56">
        <w:rPr>
          <w:rFonts w:ascii="Verdana" w:hAnsi="Verdana"/>
          <w:bCs/>
          <w:sz w:val="24"/>
          <w:szCs w:val="24"/>
        </w:rPr>
        <w:t xml:space="preserve"> o perché sanato dall’azione dell</w:t>
      </w:r>
      <w:r w:rsidRPr="00093E8C">
        <w:rPr>
          <w:rFonts w:ascii="Verdana" w:hAnsi="Verdana"/>
          <w:bCs/>
          <w:sz w:val="24"/>
          <w:szCs w:val="24"/>
        </w:rPr>
        <w:t xml:space="preserve">’Amministrazione penitenziaria nell’esercizio della propria </w:t>
      </w:r>
      <w:r w:rsidR="00D00C56">
        <w:rPr>
          <w:rFonts w:ascii="Verdana" w:hAnsi="Verdana"/>
          <w:bCs/>
          <w:sz w:val="24"/>
          <w:szCs w:val="24"/>
        </w:rPr>
        <w:t xml:space="preserve">potestà </w:t>
      </w:r>
      <w:r w:rsidRPr="00093E8C">
        <w:rPr>
          <w:rFonts w:ascii="Verdana" w:hAnsi="Verdana"/>
          <w:bCs/>
          <w:sz w:val="24"/>
          <w:szCs w:val="24"/>
        </w:rPr>
        <w:t>organizzativa o</w:t>
      </w:r>
      <w:r w:rsidR="00D00C56">
        <w:rPr>
          <w:rFonts w:ascii="Verdana" w:hAnsi="Verdana"/>
          <w:bCs/>
          <w:sz w:val="24"/>
          <w:szCs w:val="24"/>
        </w:rPr>
        <w:t>vvero</w:t>
      </w:r>
      <w:r w:rsidRPr="00093E8C">
        <w:rPr>
          <w:rFonts w:ascii="Verdana" w:hAnsi="Verdana"/>
          <w:bCs/>
          <w:sz w:val="24"/>
          <w:szCs w:val="24"/>
        </w:rPr>
        <w:t xml:space="preserve"> per altre circostanze.</w:t>
      </w:r>
    </w:p>
    <w:p w:rsidR="00746EB6" w:rsidRDefault="00A778F1" w:rsidP="00746EB6">
      <w:pPr>
        <w:spacing w:after="0" w:line="360" w:lineRule="auto"/>
        <w:ind w:firstLine="708"/>
        <w:jc w:val="both"/>
        <w:rPr>
          <w:rFonts w:ascii="Verdana" w:hAnsi="Verdana"/>
          <w:bCs/>
          <w:sz w:val="24"/>
          <w:szCs w:val="24"/>
        </w:rPr>
      </w:pPr>
      <w:r w:rsidRPr="00A778F1">
        <w:rPr>
          <w:rFonts w:ascii="Verdana" w:hAnsi="Verdana"/>
          <w:bCs/>
          <w:sz w:val="24"/>
          <w:szCs w:val="24"/>
        </w:rPr>
        <w:t>Questa prima ipotesi di configurazione del nuovo strumento risarcitorio, pur presentando alcuni indubbi punti di forza sul piano letterale e sistematico</w:t>
      </w:r>
      <w:r w:rsidR="00785D94">
        <w:rPr>
          <w:rFonts w:ascii="Verdana" w:hAnsi="Verdana"/>
          <w:bCs/>
          <w:sz w:val="24"/>
          <w:szCs w:val="24"/>
        </w:rPr>
        <w:t xml:space="preserve"> (essendo coerente con la natura eccezionale della competenza risarcitoria attribuita alla magistratura di sorveglianza)</w:t>
      </w:r>
      <w:r w:rsidR="00F41894">
        <w:rPr>
          <w:rFonts w:ascii="Verdana" w:hAnsi="Verdana"/>
          <w:bCs/>
          <w:sz w:val="24"/>
          <w:szCs w:val="24"/>
        </w:rPr>
        <w:t>,</w:t>
      </w:r>
      <w:r w:rsidRPr="00A778F1">
        <w:rPr>
          <w:rFonts w:ascii="Verdana" w:hAnsi="Verdana"/>
          <w:bCs/>
          <w:sz w:val="24"/>
          <w:szCs w:val="24"/>
        </w:rPr>
        <w:t xml:space="preserve"> conduce</w:t>
      </w:r>
      <w:r w:rsidR="00785D94">
        <w:rPr>
          <w:rFonts w:ascii="Verdana" w:hAnsi="Verdana"/>
          <w:bCs/>
          <w:sz w:val="24"/>
          <w:szCs w:val="24"/>
        </w:rPr>
        <w:t>,</w:t>
      </w:r>
      <w:r w:rsidRPr="00A778F1">
        <w:rPr>
          <w:rFonts w:ascii="Verdana" w:hAnsi="Verdana"/>
          <w:bCs/>
          <w:sz w:val="24"/>
          <w:szCs w:val="24"/>
        </w:rPr>
        <w:t xml:space="preserve"> tuttavia</w:t>
      </w:r>
      <w:r w:rsidR="00785D94">
        <w:rPr>
          <w:rFonts w:ascii="Verdana" w:hAnsi="Verdana"/>
          <w:bCs/>
          <w:sz w:val="24"/>
          <w:szCs w:val="24"/>
        </w:rPr>
        <w:t>,</w:t>
      </w:r>
      <w:r w:rsidRPr="00A778F1">
        <w:rPr>
          <w:rFonts w:ascii="Verdana" w:hAnsi="Verdana"/>
          <w:bCs/>
          <w:sz w:val="24"/>
          <w:szCs w:val="24"/>
        </w:rPr>
        <w:t xml:space="preserve"> ad esiti pratici di pressoché totale vanificazione del </w:t>
      </w:r>
      <w:r w:rsidR="00FA6FF8">
        <w:rPr>
          <w:rFonts w:ascii="Verdana" w:hAnsi="Verdana"/>
          <w:bCs/>
          <w:sz w:val="24"/>
          <w:szCs w:val="24"/>
        </w:rPr>
        <w:t xml:space="preserve">rimedio </w:t>
      </w:r>
      <w:r w:rsidR="00FA6FF8">
        <w:rPr>
          <w:rFonts w:ascii="Verdana" w:hAnsi="Verdana"/>
          <w:bCs/>
          <w:iCs/>
          <w:sz w:val="24"/>
          <w:szCs w:val="24"/>
        </w:rPr>
        <w:t>approntato</w:t>
      </w:r>
      <w:r w:rsidR="00785D94">
        <w:rPr>
          <w:rFonts w:ascii="Verdana" w:hAnsi="Verdana"/>
          <w:bCs/>
          <w:iCs/>
          <w:sz w:val="24"/>
          <w:szCs w:val="24"/>
        </w:rPr>
        <w:t xml:space="preserve">, </w:t>
      </w:r>
      <w:r w:rsidR="00FA6FF8">
        <w:rPr>
          <w:rFonts w:ascii="Verdana" w:hAnsi="Verdana"/>
          <w:bCs/>
          <w:iCs/>
          <w:sz w:val="24"/>
          <w:szCs w:val="24"/>
        </w:rPr>
        <w:t xml:space="preserve">la cui utile </w:t>
      </w:r>
      <w:proofErr w:type="spellStart"/>
      <w:r w:rsidR="00FA6FF8">
        <w:rPr>
          <w:rFonts w:ascii="Verdana" w:hAnsi="Verdana"/>
          <w:bCs/>
          <w:iCs/>
          <w:sz w:val="24"/>
          <w:szCs w:val="24"/>
        </w:rPr>
        <w:t>esperibilità</w:t>
      </w:r>
      <w:proofErr w:type="spellEnd"/>
      <w:r w:rsidR="00FA6FF8">
        <w:rPr>
          <w:rFonts w:ascii="Verdana" w:hAnsi="Verdana"/>
          <w:bCs/>
          <w:iCs/>
          <w:sz w:val="24"/>
          <w:szCs w:val="24"/>
        </w:rPr>
        <w:t xml:space="preserve"> </w:t>
      </w:r>
      <w:r w:rsidR="00785D94">
        <w:rPr>
          <w:rFonts w:ascii="Verdana" w:hAnsi="Verdana"/>
          <w:bCs/>
          <w:iCs/>
          <w:sz w:val="24"/>
          <w:szCs w:val="24"/>
        </w:rPr>
        <w:t xml:space="preserve"> rimarrebbe confinata ad un’esigua minoranza dei potenziali aventi diritto</w:t>
      </w:r>
      <w:r w:rsidR="00F41894">
        <w:rPr>
          <w:rFonts w:ascii="Verdana" w:hAnsi="Verdana"/>
          <w:bCs/>
          <w:iCs/>
          <w:sz w:val="24"/>
          <w:szCs w:val="24"/>
        </w:rPr>
        <w:t xml:space="preserve">, escludendo tutti coloro che, </w:t>
      </w:r>
      <w:r w:rsidRPr="00A778F1">
        <w:rPr>
          <w:rFonts w:ascii="Verdana" w:hAnsi="Verdana"/>
          <w:bCs/>
          <w:sz w:val="24"/>
          <w:szCs w:val="24"/>
        </w:rPr>
        <w:t>trovandosi tuttora detenut</w:t>
      </w:r>
      <w:r w:rsidR="00F41894">
        <w:rPr>
          <w:rFonts w:ascii="Verdana" w:hAnsi="Verdana"/>
          <w:bCs/>
          <w:sz w:val="24"/>
          <w:szCs w:val="24"/>
        </w:rPr>
        <w:t>i</w:t>
      </w:r>
      <w:r w:rsidRPr="00A778F1">
        <w:rPr>
          <w:rFonts w:ascii="Verdana" w:hAnsi="Verdana"/>
          <w:bCs/>
          <w:sz w:val="24"/>
          <w:szCs w:val="24"/>
        </w:rPr>
        <w:t>, non patisca</w:t>
      </w:r>
      <w:r w:rsidR="00F41894">
        <w:rPr>
          <w:rFonts w:ascii="Verdana" w:hAnsi="Verdana"/>
          <w:bCs/>
          <w:sz w:val="24"/>
          <w:szCs w:val="24"/>
        </w:rPr>
        <w:t>no</w:t>
      </w:r>
      <w:r w:rsidRPr="00A778F1">
        <w:rPr>
          <w:rFonts w:ascii="Verdana" w:hAnsi="Verdana"/>
          <w:bCs/>
          <w:sz w:val="24"/>
          <w:szCs w:val="24"/>
        </w:rPr>
        <w:t xml:space="preserve"> più condizioni di restrizione contrarie all’art.3 CEDU, ma ne abbia</w:t>
      </w:r>
      <w:r w:rsidR="00F41894">
        <w:rPr>
          <w:rFonts w:ascii="Verdana" w:hAnsi="Verdana"/>
          <w:bCs/>
          <w:sz w:val="24"/>
          <w:szCs w:val="24"/>
        </w:rPr>
        <w:t>no</w:t>
      </w:r>
      <w:r w:rsidRPr="00A778F1">
        <w:rPr>
          <w:rFonts w:ascii="Verdana" w:hAnsi="Verdana"/>
          <w:bCs/>
          <w:sz w:val="24"/>
          <w:szCs w:val="24"/>
        </w:rPr>
        <w:t>, invece, sofferto in passato.</w:t>
      </w:r>
      <w:r w:rsidR="00FE0349">
        <w:rPr>
          <w:rFonts w:ascii="Verdana" w:hAnsi="Verdana"/>
          <w:bCs/>
          <w:sz w:val="24"/>
          <w:szCs w:val="24"/>
        </w:rPr>
        <w:t xml:space="preserve"> </w:t>
      </w:r>
    </w:p>
    <w:p w:rsidR="00A778F1" w:rsidRPr="00A778F1" w:rsidRDefault="00A778F1" w:rsidP="00746EB6">
      <w:pPr>
        <w:spacing w:after="0" w:line="360" w:lineRule="auto"/>
        <w:ind w:firstLine="708"/>
        <w:jc w:val="both"/>
        <w:rPr>
          <w:rFonts w:ascii="Verdana" w:hAnsi="Verdana"/>
          <w:bCs/>
          <w:sz w:val="24"/>
          <w:szCs w:val="24"/>
        </w:rPr>
      </w:pPr>
      <w:r w:rsidRPr="00A778F1">
        <w:rPr>
          <w:rFonts w:ascii="Verdana" w:hAnsi="Verdana"/>
          <w:bCs/>
          <w:sz w:val="24"/>
          <w:szCs w:val="24"/>
        </w:rPr>
        <w:t xml:space="preserve">Pur riconoscendo tale </w:t>
      </w:r>
      <w:r w:rsidR="00785D94">
        <w:rPr>
          <w:rFonts w:ascii="Verdana" w:hAnsi="Verdana"/>
          <w:bCs/>
          <w:sz w:val="24"/>
          <w:szCs w:val="24"/>
        </w:rPr>
        <w:t xml:space="preserve">grave </w:t>
      </w:r>
      <w:r w:rsidRPr="00A778F1">
        <w:rPr>
          <w:rFonts w:ascii="Verdana" w:hAnsi="Verdana"/>
          <w:bCs/>
          <w:sz w:val="24"/>
          <w:szCs w:val="24"/>
        </w:rPr>
        <w:t xml:space="preserve">vuoto di tutela, la tesi “attualista” ritiene che </w:t>
      </w:r>
      <w:r w:rsidR="00FA6FF8">
        <w:rPr>
          <w:rFonts w:ascii="Verdana" w:hAnsi="Verdana"/>
          <w:bCs/>
          <w:sz w:val="24"/>
          <w:szCs w:val="24"/>
        </w:rPr>
        <w:t>il</w:t>
      </w:r>
      <w:r w:rsidRPr="00A778F1">
        <w:rPr>
          <w:rFonts w:ascii="Verdana" w:hAnsi="Verdana"/>
          <w:bCs/>
          <w:sz w:val="24"/>
          <w:szCs w:val="24"/>
        </w:rPr>
        <w:t xml:space="preserve"> pregiudizio</w:t>
      </w:r>
      <w:r w:rsidR="00DF47CB">
        <w:rPr>
          <w:rFonts w:ascii="Verdana" w:hAnsi="Verdana"/>
          <w:bCs/>
          <w:sz w:val="24"/>
          <w:szCs w:val="24"/>
        </w:rPr>
        <w:t xml:space="preserve"> </w:t>
      </w:r>
      <w:r w:rsidR="00785D94">
        <w:rPr>
          <w:rFonts w:ascii="Verdana" w:hAnsi="Verdana"/>
          <w:bCs/>
          <w:sz w:val="24"/>
          <w:szCs w:val="24"/>
        </w:rPr>
        <w:t xml:space="preserve">non più </w:t>
      </w:r>
      <w:r w:rsidR="00DF47CB">
        <w:rPr>
          <w:rFonts w:ascii="Verdana" w:hAnsi="Verdana"/>
          <w:bCs/>
          <w:sz w:val="24"/>
          <w:szCs w:val="24"/>
        </w:rPr>
        <w:t>“</w:t>
      </w:r>
      <w:r w:rsidR="00785D94">
        <w:rPr>
          <w:rFonts w:ascii="Verdana" w:hAnsi="Verdana"/>
          <w:bCs/>
          <w:sz w:val="24"/>
          <w:szCs w:val="24"/>
        </w:rPr>
        <w:t>attuale</w:t>
      </w:r>
      <w:r w:rsidR="00DF47CB">
        <w:rPr>
          <w:rFonts w:ascii="Verdana" w:hAnsi="Verdana"/>
          <w:bCs/>
          <w:sz w:val="24"/>
          <w:szCs w:val="24"/>
        </w:rPr>
        <w:t>”</w:t>
      </w:r>
      <w:r w:rsidR="00C90020">
        <w:rPr>
          <w:rFonts w:ascii="Verdana" w:hAnsi="Verdana"/>
          <w:bCs/>
          <w:sz w:val="24"/>
          <w:szCs w:val="24"/>
        </w:rPr>
        <w:t>,</w:t>
      </w:r>
      <w:r w:rsidR="00DF47CB">
        <w:rPr>
          <w:rFonts w:ascii="Verdana" w:hAnsi="Verdana"/>
          <w:bCs/>
          <w:sz w:val="24"/>
          <w:szCs w:val="24"/>
        </w:rPr>
        <w:t xml:space="preserve"> dunque scollegato dall’area applicativa dei rimedi tutori in esame</w:t>
      </w:r>
      <w:r w:rsidR="00C90020">
        <w:rPr>
          <w:rFonts w:ascii="Verdana" w:hAnsi="Verdana"/>
          <w:bCs/>
          <w:sz w:val="24"/>
          <w:szCs w:val="24"/>
        </w:rPr>
        <w:t>,</w:t>
      </w:r>
      <w:r w:rsidR="00DF47CB">
        <w:rPr>
          <w:rFonts w:ascii="Verdana" w:hAnsi="Verdana"/>
          <w:bCs/>
          <w:sz w:val="24"/>
          <w:szCs w:val="24"/>
        </w:rPr>
        <w:t xml:space="preserve"> </w:t>
      </w:r>
      <w:r w:rsidRPr="00A778F1">
        <w:rPr>
          <w:rFonts w:ascii="Verdana" w:hAnsi="Verdana"/>
          <w:bCs/>
          <w:sz w:val="24"/>
          <w:szCs w:val="24"/>
        </w:rPr>
        <w:t xml:space="preserve">possa trovare ristoro unicamente mediante </w:t>
      </w:r>
      <w:r w:rsidR="00DF47CB">
        <w:rPr>
          <w:rFonts w:ascii="Verdana" w:hAnsi="Verdana"/>
          <w:bCs/>
          <w:sz w:val="24"/>
          <w:szCs w:val="24"/>
        </w:rPr>
        <w:t xml:space="preserve">le forme ordinarie </w:t>
      </w:r>
      <w:r w:rsidRPr="00A778F1">
        <w:rPr>
          <w:rFonts w:ascii="Verdana" w:hAnsi="Verdana"/>
          <w:bCs/>
          <w:sz w:val="24"/>
          <w:szCs w:val="24"/>
        </w:rPr>
        <w:lastRenderedPageBreak/>
        <w:t>davanti al giudice civile, dal momento che la sussistenza di un diritto al risarcimento del danno da detenzione inumana sarebbe già “coperto” dalla previsione dell’art.2043, c.c., e la relativa competenza incardinata presso il giudice civile e considerando</w:t>
      </w:r>
      <w:r w:rsidR="00F41894">
        <w:rPr>
          <w:rFonts w:ascii="Verdana" w:hAnsi="Verdana"/>
          <w:bCs/>
          <w:sz w:val="24"/>
          <w:szCs w:val="24"/>
        </w:rPr>
        <w:t>, altresì,</w:t>
      </w:r>
      <w:r w:rsidRPr="00A778F1">
        <w:rPr>
          <w:rFonts w:ascii="Verdana" w:hAnsi="Verdana"/>
          <w:bCs/>
          <w:sz w:val="24"/>
          <w:szCs w:val="24"/>
        </w:rPr>
        <w:t xml:space="preserve"> che il legislatore, introducendo il rimedio di cui all’art. 35-</w:t>
      </w:r>
      <w:r w:rsidRPr="00A778F1">
        <w:rPr>
          <w:rFonts w:ascii="Verdana" w:hAnsi="Verdana"/>
          <w:bCs/>
          <w:i/>
          <w:sz w:val="24"/>
          <w:szCs w:val="24"/>
        </w:rPr>
        <w:t>ter</w:t>
      </w:r>
      <w:r w:rsidRPr="00A778F1">
        <w:rPr>
          <w:rFonts w:ascii="Verdana" w:hAnsi="Verdana"/>
          <w:bCs/>
          <w:sz w:val="24"/>
          <w:szCs w:val="24"/>
        </w:rPr>
        <w:t xml:space="preserve">, lungi dal creare un “nuovo diritto”, avrebbe semplicemente introdotto uno strumento specifico per il ristoro del danno in questione, a valere dal momento dell’entrata in vigore del </w:t>
      </w:r>
      <w:proofErr w:type="spellStart"/>
      <w:r w:rsidRPr="00A778F1">
        <w:rPr>
          <w:rFonts w:ascii="Verdana" w:hAnsi="Verdana"/>
          <w:bCs/>
          <w:sz w:val="24"/>
          <w:szCs w:val="24"/>
        </w:rPr>
        <w:t>d.l.</w:t>
      </w:r>
      <w:proofErr w:type="spellEnd"/>
      <w:r w:rsidRPr="00A778F1">
        <w:rPr>
          <w:rFonts w:ascii="Verdana" w:hAnsi="Verdana"/>
          <w:bCs/>
          <w:sz w:val="24"/>
          <w:szCs w:val="24"/>
        </w:rPr>
        <w:t xml:space="preserve"> 92/2014, secondo la regola generale della efficacia della legge nel tempo (art. 11 </w:t>
      </w:r>
      <w:proofErr w:type="spellStart"/>
      <w:r w:rsidRPr="00A778F1">
        <w:rPr>
          <w:rFonts w:ascii="Verdana" w:hAnsi="Verdana"/>
          <w:bCs/>
          <w:sz w:val="24"/>
          <w:szCs w:val="24"/>
        </w:rPr>
        <w:t>prel</w:t>
      </w:r>
      <w:proofErr w:type="spellEnd"/>
      <w:r w:rsidRPr="00A778F1">
        <w:rPr>
          <w:rFonts w:ascii="Verdana" w:hAnsi="Verdana"/>
          <w:bCs/>
          <w:sz w:val="24"/>
          <w:szCs w:val="24"/>
        </w:rPr>
        <w:t xml:space="preserve">.). </w:t>
      </w:r>
    </w:p>
    <w:p w:rsidR="00746EB6" w:rsidRDefault="0054189D" w:rsidP="00746EB6">
      <w:pPr>
        <w:spacing w:after="0" w:line="360" w:lineRule="auto"/>
        <w:ind w:firstLine="708"/>
        <w:jc w:val="both"/>
        <w:rPr>
          <w:rFonts w:ascii="Verdana" w:hAnsi="Verdana"/>
          <w:bCs/>
          <w:sz w:val="24"/>
          <w:szCs w:val="24"/>
        </w:rPr>
      </w:pPr>
      <w:r>
        <w:rPr>
          <w:rFonts w:ascii="Verdana" w:hAnsi="Verdana"/>
          <w:bCs/>
          <w:sz w:val="24"/>
          <w:szCs w:val="24"/>
        </w:rPr>
        <w:t>A t</w:t>
      </w:r>
      <w:r w:rsidR="00FE0349">
        <w:rPr>
          <w:rFonts w:ascii="Verdana" w:hAnsi="Verdana"/>
          <w:bCs/>
          <w:sz w:val="24"/>
          <w:szCs w:val="24"/>
        </w:rPr>
        <w:t xml:space="preserve">ale </w:t>
      </w:r>
      <w:r w:rsidR="00FE0349" w:rsidRPr="00FE0349">
        <w:rPr>
          <w:rFonts w:ascii="Verdana" w:hAnsi="Verdana"/>
          <w:bCs/>
          <w:sz w:val="24"/>
          <w:szCs w:val="24"/>
        </w:rPr>
        <w:t xml:space="preserve">lettura </w:t>
      </w:r>
      <w:r>
        <w:rPr>
          <w:rFonts w:ascii="Verdana" w:hAnsi="Verdana"/>
          <w:bCs/>
          <w:sz w:val="24"/>
          <w:szCs w:val="24"/>
        </w:rPr>
        <w:t>si contrappone l</w:t>
      </w:r>
      <w:r w:rsidR="00FE0349" w:rsidRPr="00FE0349">
        <w:rPr>
          <w:rFonts w:ascii="Verdana" w:hAnsi="Verdana"/>
          <w:bCs/>
          <w:sz w:val="24"/>
          <w:szCs w:val="24"/>
        </w:rPr>
        <w:t xml:space="preserve">a tesi </w:t>
      </w:r>
      <w:r w:rsidR="00FE0349">
        <w:rPr>
          <w:rFonts w:ascii="Verdana" w:hAnsi="Verdana"/>
          <w:bCs/>
          <w:sz w:val="24"/>
          <w:szCs w:val="24"/>
        </w:rPr>
        <w:t xml:space="preserve">c.d. </w:t>
      </w:r>
      <w:r w:rsidR="00FE0349" w:rsidRPr="00FE0349">
        <w:rPr>
          <w:rFonts w:ascii="Verdana" w:hAnsi="Verdana"/>
          <w:bCs/>
          <w:sz w:val="24"/>
          <w:szCs w:val="24"/>
        </w:rPr>
        <w:t xml:space="preserve">“non attualista”, </w:t>
      </w:r>
      <w:r w:rsidR="00FE0349">
        <w:rPr>
          <w:rFonts w:ascii="Verdana" w:hAnsi="Verdana"/>
          <w:bCs/>
          <w:sz w:val="24"/>
          <w:szCs w:val="24"/>
        </w:rPr>
        <w:t>seguita da altra parte della giurisprudenza di merito</w:t>
      </w:r>
      <w:r w:rsidR="00C42AE1">
        <w:rPr>
          <w:rStyle w:val="Rimandonotaapidipagina"/>
          <w:rFonts w:ascii="Verdana" w:hAnsi="Verdana"/>
          <w:bCs/>
          <w:sz w:val="24"/>
          <w:szCs w:val="24"/>
        </w:rPr>
        <w:footnoteReference w:id="8"/>
      </w:r>
      <w:r w:rsidR="00FE0349">
        <w:rPr>
          <w:rFonts w:ascii="Verdana" w:hAnsi="Verdana"/>
          <w:bCs/>
          <w:sz w:val="24"/>
          <w:szCs w:val="24"/>
        </w:rPr>
        <w:t xml:space="preserve"> e sostenuta dalla dottrina maggioritaria, </w:t>
      </w:r>
      <w:r w:rsidR="00FE0349" w:rsidRPr="00FE0349">
        <w:rPr>
          <w:rFonts w:ascii="Verdana" w:hAnsi="Verdana"/>
          <w:bCs/>
          <w:sz w:val="24"/>
          <w:szCs w:val="24"/>
        </w:rPr>
        <w:t>che ritiene l</w:t>
      </w:r>
      <w:r w:rsidR="00785D94">
        <w:rPr>
          <w:rFonts w:ascii="Verdana" w:hAnsi="Verdana"/>
          <w:bCs/>
          <w:sz w:val="24"/>
          <w:szCs w:val="24"/>
        </w:rPr>
        <w:t>’ipotesi ermeneutica</w:t>
      </w:r>
      <w:r w:rsidR="00FE0349" w:rsidRPr="00FE0349">
        <w:rPr>
          <w:rFonts w:ascii="Verdana" w:hAnsi="Verdana"/>
          <w:bCs/>
          <w:sz w:val="24"/>
          <w:szCs w:val="24"/>
        </w:rPr>
        <w:t xml:space="preserve"> </w:t>
      </w:r>
      <w:r w:rsidR="00785D94">
        <w:rPr>
          <w:rFonts w:ascii="Verdana" w:hAnsi="Verdana"/>
          <w:bCs/>
          <w:sz w:val="24"/>
          <w:szCs w:val="24"/>
        </w:rPr>
        <w:t xml:space="preserve">sopra illustrata </w:t>
      </w:r>
      <w:r w:rsidR="00DF47CB">
        <w:rPr>
          <w:rFonts w:ascii="Verdana" w:hAnsi="Verdana"/>
          <w:bCs/>
          <w:sz w:val="24"/>
          <w:szCs w:val="24"/>
        </w:rPr>
        <w:t xml:space="preserve">in contrasto con </w:t>
      </w:r>
      <w:r w:rsidR="00FE0349" w:rsidRPr="00FE0349">
        <w:rPr>
          <w:rFonts w:ascii="Verdana" w:hAnsi="Verdana"/>
          <w:bCs/>
          <w:sz w:val="24"/>
          <w:szCs w:val="24"/>
        </w:rPr>
        <w:t xml:space="preserve">l’art.3 </w:t>
      </w:r>
      <w:proofErr w:type="spellStart"/>
      <w:r w:rsidR="00FE0349" w:rsidRPr="00FE0349">
        <w:rPr>
          <w:rFonts w:ascii="Verdana" w:hAnsi="Verdana"/>
          <w:bCs/>
          <w:sz w:val="24"/>
          <w:szCs w:val="24"/>
        </w:rPr>
        <w:t>Cost</w:t>
      </w:r>
      <w:proofErr w:type="spellEnd"/>
      <w:r w:rsidR="00FE0349" w:rsidRPr="00FE0349">
        <w:rPr>
          <w:rFonts w:ascii="Verdana" w:hAnsi="Verdana"/>
          <w:bCs/>
          <w:sz w:val="24"/>
          <w:szCs w:val="24"/>
        </w:rPr>
        <w:t xml:space="preserve">., poiché, a fronte di un medesimo pregiudizio subìto per condizioni detentive inumane e degradanti, </w:t>
      </w:r>
      <w:r w:rsidR="00785D94">
        <w:rPr>
          <w:rFonts w:ascii="Verdana" w:hAnsi="Verdana"/>
          <w:bCs/>
          <w:sz w:val="24"/>
          <w:szCs w:val="24"/>
        </w:rPr>
        <w:t xml:space="preserve">si </w:t>
      </w:r>
      <w:r w:rsidR="00DF47CB">
        <w:rPr>
          <w:rFonts w:ascii="Verdana" w:hAnsi="Verdana"/>
          <w:bCs/>
          <w:sz w:val="24"/>
          <w:szCs w:val="24"/>
        </w:rPr>
        <w:t>attuerebbero</w:t>
      </w:r>
      <w:r w:rsidR="00785D94">
        <w:rPr>
          <w:rFonts w:ascii="Verdana" w:hAnsi="Verdana"/>
          <w:bCs/>
          <w:sz w:val="24"/>
          <w:szCs w:val="24"/>
        </w:rPr>
        <w:t xml:space="preserve"> modalità risarcitorie diff</w:t>
      </w:r>
      <w:r w:rsidR="00FE0349" w:rsidRPr="00FE0349">
        <w:rPr>
          <w:rFonts w:ascii="Verdana" w:hAnsi="Verdana"/>
          <w:bCs/>
          <w:sz w:val="24"/>
          <w:szCs w:val="24"/>
        </w:rPr>
        <w:t>er</w:t>
      </w:r>
      <w:r w:rsidR="00785D94">
        <w:rPr>
          <w:rFonts w:ascii="Verdana" w:hAnsi="Verdana"/>
          <w:bCs/>
          <w:sz w:val="24"/>
          <w:szCs w:val="24"/>
        </w:rPr>
        <w:t>enziate</w:t>
      </w:r>
      <w:r w:rsidR="00FE0349" w:rsidRPr="00FE0349">
        <w:rPr>
          <w:rFonts w:ascii="Verdana" w:hAnsi="Verdana"/>
          <w:bCs/>
          <w:sz w:val="24"/>
          <w:szCs w:val="24"/>
        </w:rPr>
        <w:t>, secondo che il detenuto si trovi ancora, o no, in una situazione di “attuale pregiudizio”, così determinando una irragionevole disparità di trattamento, poiché, in quest’ultimo caso, il danneggiato dovrebbe accontentarsi del risarcimento in forma pecuniaria, mentre la riduzione di pena sarebbe riservata ai soli soggetti “attualmente” sottoposti a trattamento detentivo contrario all’art.3 CEDU</w:t>
      </w:r>
      <w:r w:rsidR="00785D94">
        <w:rPr>
          <w:rFonts w:ascii="Verdana" w:hAnsi="Verdana"/>
          <w:bCs/>
          <w:sz w:val="24"/>
          <w:szCs w:val="24"/>
        </w:rPr>
        <w:t>.</w:t>
      </w:r>
      <w:r w:rsidR="00FE0349" w:rsidRPr="00FE0349">
        <w:rPr>
          <w:rFonts w:ascii="Verdana" w:hAnsi="Verdana"/>
          <w:bCs/>
          <w:sz w:val="24"/>
          <w:szCs w:val="24"/>
        </w:rPr>
        <w:t xml:space="preserve"> </w:t>
      </w:r>
    </w:p>
    <w:p w:rsidR="00746EB6" w:rsidRDefault="00FE0349" w:rsidP="00746EB6">
      <w:pPr>
        <w:spacing w:after="0" w:line="360" w:lineRule="auto"/>
        <w:ind w:firstLine="708"/>
        <w:jc w:val="both"/>
        <w:rPr>
          <w:rFonts w:ascii="Verdana" w:hAnsi="Verdana"/>
          <w:bCs/>
          <w:sz w:val="24"/>
          <w:szCs w:val="24"/>
        </w:rPr>
      </w:pPr>
      <w:r w:rsidRPr="00FE0349">
        <w:rPr>
          <w:rFonts w:ascii="Verdana" w:hAnsi="Verdana"/>
          <w:bCs/>
          <w:sz w:val="24"/>
          <w:szCs w:val="24"/>
        </w:rPr>
        <w:t xml:space="preserve">Muovendo da tale </w:t>
      </w:r>
      <w:r>
        <w:rPr>
          <w:rFonts w:ascii="Verdana" w:hAnsi="Verdana"/>
          <w:bCs/>
          <w:sz w:val="24"/>
          <w:szCs w:val="24"/>
        </w:rPr>
        <w:t>premessa</w:t>
      </w:r>
      <w:r w:rsidRPr="00FE0349">
        <w:rPr>
          <w:rFonts w:ascii="Verdana" w:hAnsi="Verdana"/>
          <w:bCs/>
          <w:sz w:val="24"/>
          <w:szCs w:val="24"/>
        </w:rPr>
        <w:t xml:space="preserve">, si è allora </w:t>
      </w:r>
      <w:r>
        <w:rPr>
          <w:rFonts w:ascii="Verdana" w:hAnsi="Verdana"/>
          <w:bCs/>
          <w:sz w:val="24"/>
          <w:szCs w:val="24"/>
        </w:rPr>
        <w:t xml:space="preserve">proposta </w:t>
      </w:r>
      <w:r w:rsidRPr="00FE0349">
        <w:rPr>
          <w:rFonts w:ascii="Verdana" w:hAnsi="Verdana"/>
          <w:bCs/>
          <w:sz w:val="24"/>
          <w:szCs w:val="24"/>
        </w:rPr>
        <w:t>la soluzione interpretativa per cui, al fine di</w:t>
      </w:r>
      <w:r w:rsidRPr="00FE0349">
        <w:rPr>
          <w:rFonts w:ascii="Verdana" w:hAnsi="Verdana"/>
          <w:b/>
          <w:bCs/>
          <w:sz w:val="24"/>
          <w:szCs w:val="24"/>
        </w:rPr>
        <w:t xml:space="preserve"> </w:t>
      </w:r>
      <w:r w:rsidRPr="00FE0349">
        <w:rPr>
          <w:rFonts w:ascii="Verdana" w:hAnsi="Verdana"/>
          <w:bCs/>
          <w:sz w:val="24"/>
          <w:szCs w:val="24"/>
        </w:rPr>
        <w:t>evitare</w:t>
      </w:r>
      <w:r w:rsidRPr="00FE0349">
        <w:rPr>
          <w:rFonts w:ascii="Verdana" w:hAnsi="Verdana"/>
          <w:b/>
          <w:bCs/>
          <w:sz w:val="24"/>
          <w:szCs w:val="24"/>
        </w:rPr>
        <w:t xml:space="preserve"> </w:t>
      </w:r>
      <w:r w:rsidRPr="00FE0349">
        <w:rPr>
          <w:rFonts w:ascii="Verdana" w:hAnsi="Verdana"/>
          <w:bCs/>
          <w:sz w:val="24"/>
          <w:szCs w:val="24"/>
        </w:rPr>
        <w:t>una</w:t>
      </w:r>
      <w:r w:rsidRPr="00FE0349">
        <w:rPr>
          <w:rFonts w:ascii="Verdana" w:hAnsi="Verdana"/>
          <w:b/>
          <w:bCs/>
          <w:sz w:val="24"/>
          <w:szCs w:val="24"/>
        </w:rPr>
        <w:t xml:space="preserve"> </w:t>
      </w:r>
      <w:r w:rsidRPr="00FE0349">
        <w:rPr>
          <w:rFonts w:ascii="Verdana" w:hAnsi="Verdana"/>
          <w:bCs/>
          <w:sz w:val="24"/>
          <w:szCs w:val="24"/>
        </w:rPr>
        <w:t>censura di incostituzionalità</w:t>
      </w:r>
      <w:r w:rsidRPr="00FE0349">
        <w:rPr>
          <w:rFonts w:ascii="Verdana" w:hAnsi="Verdana"/>
          <w:b/>
          <w:bCs/>
          <w:sz w:val="24"/>
          <w:szCs w:val="24"/>
        </w:rPr>
        <w:t xml:space="preserve"> </w:t>
      </w:r>
      <w:r w:rsidRPr="00FE0349">
        <w:rPr>
          <w:rFonts w:ascii="Verdana" w:hAnsi="Verdana"/>
          <w:bCs/>
          <w:sz w:val="24"/>
          <w:szCs w:val="24"/>
        </w:rPr>
        <w:t xml:space="preserve">della disciplina, derivante da una discriminazione irragionevole ai sensi dell'art.3 </w:t>
      </w:r>
      <w:proofErr w:type="spellStart"/>
      <w:proofErr w:type="gramStart"/>
      <w:r w:rsidRPr="00FE0349">
        <w:rPr>
          <w:rFonts w:ascii="Verdana" w:hAnsi="Verdana"/>
          <w:bCs/>
          <w:sz w:val="24"/>
          <w:szCs w:val="24"/>
        </w:rPr>
        <w:t>Cost</w:t>
      </w:r>
      <w:proofErr w:type="spellEnd"/>
      <w:r w:rsidRPr="00FE0349">
        <w:rPr>
          <w:rFonts w:ascii="Verdana" w:hAnsi="Verdana"/>
          <w:bCs/>
          <w:sz w:val="24"/>
          <w:szCs w:val="24"/>
        </w:rPr>
        <w:t>.</w:t>
      </w:r>
      <w:r w:rsidRPr="00FE0349">
        <w:rPr>
          <w:rFonts w:ascii="Verdana" w:hAnsi="Verdana"/>
          <w:b/>
          <w:bCs/>
          <w:sz w:val="24"/>
          <w:szCs w:val="24"/>
        </w:rPr>
        <w:t>,</w:t>
      </w:r>
      <w:proofErr w:type="gramEnd"/>
      <w:r w:rsidRPr="00FE0349">
        <w:rPr>
          <w:rFonts w:ascii="Verdana" w:hAnsi="Verdana"/>
          <w:b/>
          <w:bCs/>
          <w:sz w:val="24"/>
          <w:szCs w:val="24"/>
        </w:rPr>
        <w:t xml:space="preserve"> </w:t>
      </w:r>
      <w:r w:rsidRPr="00FE0349">
        <w:rPr>
          <w:rFonts w:ascii="Verdana" w:hAnsi="Verdana"/>
          <w:bCs/>
          <w:sz w:val="24"/>
          <w:szCs w:val="24"/>
        </w:rPr>
        <w:t>dovrebbe valere l'interpretazione analogica delle disposizioni di cui ai commi 1 e 2, art. 35-</w:t>
      </w:r>
      <w:r w:rsidRPr="00FE0349">
        <w:rPr>
          <w:rFonts w:ascii="Verdana" w:hAnsi="Verdana"/>
          <w:bCs/>
          <w:i/>
          <w:sz w:val="24"/>
          <w:szCs w:val="24"/>
        </w:rPr>
        <w:t>ter</w:t>
      </w:r>
      <w:r w:rsidRPr="00FE0349">
        <w:rPr>
          <w:rFonts w:ascii="Verdana" w:hAnsi="Verdana"/>
          <w:bCs/>
          <w:sz w:val="24"/>
          <w:szCs w:val="24"/>
        </w:rPr>
        <w:t>, che consenta anche a t</w:t>
      </w:r>
      <w:r w:rsidR="00DF47CB">
        <w:rPr>
          <w:rFonts w:ascii="Verdana" w:hAnsi="Verdana"/>
          <w:bCs/>
          <w:sz w:val="24"/>
          <w:szCs w:val="24"/>
        </w:rPr>
        <w:t>utti i soggetti detenut</w:t>
      </w:r>
      <w:r w:rsidRPr="00FE0349">
        <w:rPr>
          <w:rFonts w:ascii="Verdana" w:hAnsi="Verdana"/>
          <w:bCs/>
          <w:sz w:val="24"/>
          <w:szCs w:val="24"/>
        </w:rPr>
        <w:t>i di usufruire del nuovo specifico rimedio risarcitorio, nelle forme del reclamo al magistrato di sorveglianza</w:t>
      </w:r>
      <w:r w:rsidRPr="00FE0349">
        <w:rPr>
          <w:rFonts w:ascii="Verdana" w:hAnsi="Verdana"/>
          <w:bCs/>
          <w:iCs/>
          <w:sz w:val="24"/>
          <w:szCs w:val="24"/>
          <w:vertAlign w:val="superscript"/>
        </w:rPr>
        <w:footnoteReference w:id="9"/>
      </w:r>
      <w:r w:rsidR="00785D94">
        <w:rPr>
          <w:rFonts w:ascii="Verdana" w:hAnsi="Verdana"/>
          <w:bCs/>
          <w:sz w:val="24"/>
          <w:szCs w:val="24"/>
        </w:rPr>
        <w:t>.</w:t>
      </w:r>
      <w:r w:rsidRPr="00FE0349">
        <w:rPr>
          <w:rFonts w:ascii="Verdana" w:hAnsi="Verdana"/>
          <w:bCs/>
          <w:iCs/>
          <w:sz w:val="24"/>
          <w:szCs w:val="24"/>
        </w:rPr>
        <w:t xml:space="preserve"> </w:t>
      </w:r>
    </w:p>
    <w:p w:rsidR="00746EB6" w:rsidRDefault="00785D94" w:rsidP="00746EB6">
      <w:pPr>
        <w:spacing w:after="0" w:line="360" w:lineRule="auto"/>
        <w:ind w:firstLine="708"/>
        <w:jc w:val="both"/>
        <w:rPr>
          <w:rFonts w:ascii="Verdana" w:hAnsi="Verdana"/>
          <w:bCs/>
          <w:i/>
          <w:sz w:val="24"/>
          <w:szCs w:val="24"/>
        </w:rPr>
      </w:pPr>
      <w:r>
        <w:rPr>
          <w:rFonts w:ascii="Verdana" w:hAnsi="Verdana"/>
          <w:bCs/>
          <w:sz w:val="24"/>
          <w:szCs w:val="24"/>
        </w:rPr>
        <w:t xml:space="preserve">Non solo. </w:t>
      </w:r>
      <w:r w:rsidR="00FE0349">
        <w:rPr>
          <w:rFonts w:ascii="Verdana" w:hAnsi="Verdana"/>
          <w:bCs/>
          <w:sz w:val="24"/>
          <w:szCs w:val="24"/>
        </w:rPr>
        <w:t>L</w:t>
      </w:r>
      <w:r w:rsidR="003D5860">
        <w:rPr>
          <w:rFonts w:ascii="Verdana" w:hAnsi="Verdana"/>
          <w:bCs/>
          <w:sz w:val="24"/>
          <w:szCs w:val="24"/>
        </w:rPr>
        <w:t xml:space="preserve">o </w:t>
      </w:r>
      <w:r w:rsidR="008A07F1">
        <w:rPr>
          <w:rFonts w:ascii="Verdana" w:hAnsi="Verdana"/>
          <w:bCs/>
          <w:sz w:val="24"/>
          <w:szCs w:val="24"/>
        </w:rPr>
        <w:t xml:space="preserve">sforzo </w:t>
      </w:r>
      <w:r w:rsidR="00474CAB" w:rsidRPr="00093E8C">
        <w:rPr>
          <w:rFonts w:ascii="Verdana" w:hAnsi="Verdana"/>
          <w:bCs/>
          <w:sz w:val="24"/>
          <w:szCs w:val="24"/>
        </w:rPr>
        <w:t xml:space="preserve">interpretativo </w:t>
      </w:r>
      <w:r>
        <w:rPr>
          <w:rFonts w:ascii="Verdana" w:hAnsi="Verdana"/>
          <w:bCs/>
          <w:sz w:val="24"/>
          <w:szCs w:val="24"/>
        </w:rPr>
        <w:t xml:space="preserve">volto a conferire piena effettività al </w:t>
      </w:r>
      <w:proofErr w:type="spellStart"/>
      <w:r>
        <w:rPr>
          <w:rFonts w:ascii="Verdana" w:hAnsi="Verdana"/>
          <w:bCs/>
          <w:sz w:val="24"/>
          <w:szCs w:val="24"/>
        </w:rPr>
        <w:t>neointrodotto</w:t>
      </w:r>
      <w:proofErr w:type="spellEnd"/>
      <w:r>
        <w:rPr>
          <w:rFonts w:ascii="Verdana" w:hAnsi="Verdana"/>
          <w:bCs/>
          <w:sz w:val="24"/>
          <w:szCs w:val="24"/>
        </w:rPr>
        <w:t xml:space="preserve"> istituto si è anche sviluppato nella direzione di </w:t>
      </w:r>
      <w:r w:rsidR="008A07F1">
        <w:rPr>
          <w:rFonts w:ascii="Verdana" w:hAnsi="Verdana"/>
          <w:bCs/>
          <w:sz w:val="24"/>
          <w:szCs w:val="24"/>
        </w:rPr>
        <w:t xml:space="preserve">superare </w:t>
      </w:r>
      <w:r w:rsidR="00474CAB" w:rsidRPr="00093E8C">
        <w:rPr>
          <w:rFonts w:ascii="Verdana" w:hAnsi="Verdana"/>
          <w:bCs/>
          <w:sz w:val="24"/>
          <w:szCs w:val="24"/>
        </w:rPr>
        <w:t xml:space="preserve">l’ostacolo posto dal </w:t>
      </w:r>
      <w:r w:rsidR="00DF47CB">
        <w:rPr>
          <w:rFonts w:ascii="Verdana" w:hAnsi="Verdana"/>
          <w:bCs/>
          <w:sz w:val="24"/>
          <w:szCs w:val="24"/>
        </w:rPr>
        <w:t xml:space="preserve">riferimento </w:t>
      </w:r>
      <w:r w:rsidR="00474CAB" w:rsidRPr="00093E8C">
        <w:rPr>
          <w:rFonts w:ascii="Verdana" w:hAnsi="Verdana"/>
          <w:bCs/>
          <w:sz w:val="24"/>
          <w:szCs w:val="24"/>
        </w:rPr>
        <w:t xml:space="preserve">testuale </w:t>
      </w:r>
      <w:r w:rsidR="008A07F1">
        <w:rPr>
          <w:rFonts w:ascii="Verdana" w:hAnsi="Verdana"/>
          <w:bCs/>
          <w:sz w:val="24"/>
          <w:szCs w:val="24"/>
        </w:rPr>
        <w:t xml:space="preserve">alla </w:t>
      </w:r>
      <w:r w:rsidR="00474CAB" w:rsidRPr="00093E8C">
        <w:rPr>
          <w:rFonts w:ascii="Verdana" w:hAnsi="Verdana"/>
          <w:bCs/>
          <w:sz w:val="24"/>
          <w:szCs w:val="24"/>
        </w:rPr>
        <w:t>situazione di “attualità” del pregiudizio</w:t>
      </w:r>
      <w:r>
        <w:rPr>
          <w:rFonts w:ascii="Verdana" w:hAnsi="Verdana"/>
          <w:bCs/>
          <w:sz w:val="24"/>
          <w:szCs w:val="24"/>
        </w:rPr>
        <w:t>,</w:t>
      </w:r>
      <w:r w:rsidR="00FE0349">
        <w:rPr>
          <w:rFonts w:ascii="Verdana" w:hAnsi="Verdana"/>
          <w:bCs/>
          <w:sz w:val="24"/>
          <w:szCs w:val="24"/>
        </w:rPr>
        <w:t xml:space="preserve"> </w:t>
      </w:r>
      <w:r w:rsidR="00EA2B1A">
        <w:rPr>
          <w:rFonts w:ascii="Verdana" w:hAnsi="Verdana"/>
          <w:bCs/>
          <w:sz w:val="24"/>
          <w:szCs w:val="24"/>
        </w:rPr>
        <w:t xml:space="preserve">accostando </w:t>
      </w:r>
      <w:r w:rsidR="00FE0349">
        <w:rPr>
          <w:rFonts w:ascii="Verdana" w:hAnsi="Verdana"/>
          <w:bCs/>
          <w:sz w:val="24"/>
          <w:szCs w:val="24"/>
        </w:rPr>
        <w:t xml:space="preserve">tale </w:t>
      </w:r>
      <w:r>
        <w:rPr>
          <w:rFonts w:ascii="Verdana" w:hAnsi="Verdana"/>
          <w:bCs/>
          <w:sz w:val="24"/>
          <w:szCs w:val="24"/>
        </w:rPr>
        <w:t xml:space="preserve">requisito </w:t>
      </w:r>
      <w:r w:rsidR="00EA2B1A">
        <w:rPr>
          <w:rFonts w:ascii="Verdana" w:hAnsi="Verdana"/>
          <w:bCs/>
          <w:sz w:val="24"/>
          <w:szCs w:val="24"/>
        </w:rPr>
        <w:t xml:space="preserve">alla situazione della </w:t>
      </w:r>
      <w:r w:rsidR="002A03F7">
        <w:rPr>
          <w:rFonts w:ascii="Verdana" w:hAnsi="Verdana"/>
          <w:bCs/>
          <w:iCs/>
          <w:sz w:val="24"/>
          <w:szCs w:val="24"/>
        </w:rPr>
        <w:t>v</w:t>
      </w:r>
      <w:r w:rsidR="00474CAB" w:rsidRPr="00093E8C">
        <w:rPr>
          <w:rFonts w:ascii="Verdana" w:hAnsi="Verdana"/>
          <w:bCs/>
          <w:iCs/>
          <w:sz w:val="24"/>
          <w:szCs w:val="24"/>
        </w:rPr>
        <w:t>iolazione</w:t>
      </w:r>
      <w:r w:rsidR="00EA2B1A">
        <w:rPr>
          <w:rFonts w:ascii="Verdana" w:hAnsi="Verdana"/>
          <w:bCs/>
          <w:iCs/>
          <w:sz w:val="24"/>
          <w:szCs w:val="24"/>
        </w:rPr>
        <w:t xml:space="preserve"> convenzionale</w:t>
      </w:r>
      <w:r w:rsidR="00FE0349">
        <w:rPr>
          <w:rFonts w:ascii="Verdana" w:hAnsi="Verdana"/>
          <w:bCs/>
          <w:iCs/>
          <w:sz w:val="24"/>
          <w:szCs w:val="24"/>
        </w:rPr>
        <w:t xml:space="preserve"> non </w:t>
      </w:r>
      <w:r w:rsidR="00FE0349">
        <w:rPr>
          <w:rFonts w:ascii="Verdana" w:hAnsi="Verdana"/>
          <w:bCs/>
          <w:iCs/>
          <w:sz w:val="24"/>
          <w:szCs w:val="24"/>
        </w:rPr>
        <w:lastRenderedPageBreak/>
        <w:t>ancora risarcita (dunque “attuale”)</w:t>
      </w:r>
      <w:r w:rsidR="008A07F1">
        <w:rPr>
          <w:rFonts w:ascii="Verdana" w:hAnsi="Verdana"/>
          <w:bCs/>
          <w:iCs/>
          <w:sz w:val="24"/>
          <w:szCs w:val="24"/>
        </w:rPr>
        <w:t xml:space="preserve">. </w:t>
      </w:r>
      <w:r w:rsidR="00EE40F7">
        <w:rPr>
          <w:rFonts w:ascii="Verdana" w:hAnsi="Verdana"/>
          <w:bCs/>
          <w:iCs/>
          <w:sz w:val="24"/>
          <w:szCs w:val="24"/>
        </w:rPr>
        <w:t xml:space="preserve">Tale assunto troverebbe fondamento nella stessa sentenza </w:t>
      </w:r>
      <w:proofErr w:type="spellStart"/>
      <w:r w:rsidR="00474CAB" w:rsidRPr="00093E8C">
        <w:rPr>
          <w:rFonts w:ascii="Verdana" w:hAnsi="Verdana"/>
          <w:bCs/>
          <w:i/>
          <w:sz w:val="24"/>
          <w:szCs w:val="24"/>
        </w:rPr>
        <w:t>Torreggiani</w:t>
      </w:r>
      <w:proofErr w:type="spellEnd"/>
      <w:r w:rsidR="00EE40F7">
        <w:rPr>
          <w:rFonts w:ascii="Verdana" w:hAnsi="Verdana"/>
          <w:bCs/>
          <w:i/>
          <w:sz w:val="24"/>
          <w:szCs w:val="24"/>
        </w:rPr>
        <w:t>,</w:t>
      </w:r>
      <w:r w:rsidR="00474CAB" w:rsidRPr="00093E8C">
        <w:rPr>
          <w:rFonts w:ascii="Verdana" w:hAnsi="Verdana"/>
          <w:bCs/>
          <w:sz w:val="24"/>
          <w:szCs w:val="24"/>
        </w:rPr>
        <w:t xml:space="preserve"> </w:t>
      </w:r>
      <w:r w:rsidR="00EE40F7">
        <w:rPr>
          <w:rFonts w:ascii="Verdana" w:hAnsi="Verdana"/>
          <w:bCs/>
          <w:sz w:val="24"/>
          <w:szCs w:val="24"/>
        </w:rPr>
        <w:t xml:space="preserve">ove si </w:t>
      </w:r>
      <w:r w:rsidR="00474CAB" w:rsidRPr="00093E8C">
        <w:rPr>
          <w:rFonts w:ascii="Verdana" w:hAnsi="Verdana"/>
          <w:bCs/>
          <w:sz w:val="24"/>
          <w:szCs w:val="24"/>
        </w:rPr>
        <w:t>afferma, in tema di ricevibilità del ricorso, che</w:t>
      </w:r>
      <w:r w:rsidR="00BB359C">
        <w:rPr>
          <w:rFonts w:ascii="Verdana" w:hAnsi="Verdana"/>
          <w:bCs/>
          <w:sz w:val="24"/>
          <w:szCs w:val="24"/>
        </w:rPr>
        <w:t>,</w:t>
      </w:r>
      <w:r w:rsidR="00474CAB" w:rsidRPr="00093E8C">
        <w:rPr>
          <w:rFonts w:ascii="Verdana" w:hAnsi="Verdana"/>
          <w:bCs/>
          <w:sz w:val="24"/>
          <w:szCs w:val="24"/>
        </w:rPr>
        <w:t xml:space="preserve"> in capo ai ricorrenti</w:t>
      </w:r>
      <w:r w:rsidR="00BB359C">
        <w:rPr>
          <w:rFonts w:ascii="Verdana" w:hAnsi="Verdana"/>
          <w:bCs/>
          <w:sz w:val="24"/>
          <w:szCs w:val="24"/>
        </w:rPr>
        <w:t>,</w:t>
      </w:r>
      <w:r w:rsidR="00474CAB" w:rsidRPr="00093E8C">
        <w:rPr>
          <w:rFonts w:ascii="Verdana" w:hAnsi="Verdana"/>
          <w:bCs/>
          <w:sz w:val="24"/>
          <w:szCs w:val="24"/>
        </w:rPr>
        <w:t xml:space="preserve"> permaneva la qualità di “vittima” della violazione dell’art.3 CEDU anche se, successivamente alla proposizione del ricorso, alcuni detenuti erano stati trasferiti in altre celle più confortevoli o scarcerati atteso che &lt;&lt; una decisione o una misura favorevole al ricorrente è sufficiente, in linea di principio, a privarlo della qualità di “vittima” solo quando le autorità nazionali abbiano riconosciuto, esplicitamente o sostanzialmente, la violazione della Convenzione e vi abbiano posto rimedio..&gt;&gt;. Da quest’ultimo passaggio si </w:t>
      </w:r>
      <w:r w:rsidR="00EE40F7">
        <w:rPr>
          <w:rFonts w:ascii="Verdana" w:hAnsi="Verdana"/>
          <w:bCs/>
          <w:sz w:val="24"/>
          <w:szCs w:val="24"/>
        </w:rPr>
        <w:t xml:space="preserve">desumerebbe, quindi, </w:t>
      </w:r>
      <w:r w:rsidR="00474CAB" w:rsidRPr="00093E8C">
        <w:rPr>
          <w:rFonts w:ascii="Verdana" w:hAnsi="Verdana"/>
          <w:bCs/>
          <w:sz w:val="24"/>
          <w:szCs w:val="24"/>
        </w:rPr>
        <w:t xml:space="preserve">che </w:t>
      </w:r>
      <w:proofErr w:type="gramStart"/>
      <w:r w:rsidR="00474CAB" w:rsidRPr="00093E8C">
        <w:rPr>
          <w:rFonts w:ascii="Verdana" w:hAnsi="Verdana"/>
          <w:bCs/>
          <w:sz w:val="24"/>
          <w:szCs w:val="24"/>
        </w:rPr>
        <w:t>l’ “</w:t>
      </w:r>
      <w:proofErr w:type="gramEnd"/>
      <w:r w:rsidR="00474CAB" w:rsidRPr="00093E8C">
        <w:rPr>
          <w:rFonts w:ascii="Verdana" w:hAnsi="Verdana"/>
          <w:bCs/>
          <w:sz w:val="24"/>
          <w:szCs w:val="24"/>
        </w:rPr>
        <w:t>attua</w:t>
      </w:r>
      <w:r w:rsidR="00EE40F7">
        <w:rPr>
          <w:rFonts w:ascii="Verdana" w:hAnsi="Verdana"/>
          <w:bCs/>
          <w:sz w:val="24"/>
          <w:szCs w:val="24"/>
        </w:rPr>
        <w:t>lità” del pregiudizio rimane</w:t>
      </w:r>
      <w:r w:rsidR="00474CAB" w:rsidRPr="00093E8C">
        <w:rPr>
          <w:rFonts w:ascii="Verdana" w:hAnsi="Verdana"/>
          <w:bCs/>
          <w:sz w:val="24"/>
          <w:szCs w:val="24"/>
        </w:rPr>
        <w:t xml:space="preserve"> tale fino a che non intervenga una decisione giudiziale che ne determini il relativo ristoro.</w:t>
      </w:r>
      <w:r w:rsidR="00BB359C">
        <w:rPr>
          <w:rFonts w:ascii="Verdana" w:hAnsi="Verdana"/>
          <w:bCs/>
          <w:sz w:val="24"/>
          <w:szCs w:val="24"/>
        </w:rPr>
        <w:t xml:space="preserve"> </w:t>
      </w:r>
      <w:r w:rsidR="00EA2B1A">
        <w:rPr>
          <w:rFonts w:ascii="Verdana" w:hAnsi="Verdana"/>
          <w:bCs/>
          <w:sz w:val="24"/>
          <w:szCs w:val="24"/>
        </w:rPr>
        <w:t>Una t</w:t>
      </w:r>
      <w:r w:rsidR="00BB359C">
        <w:rPr>
          <w:rFonts w:ascii="Verdana" w:hAnsi="Verdana"/>
          <w:bCs/>
          <w:sz w:val="24"/>
          <w:szCs w:val="24"/>
        </w:rPr>
        <w:t xml:space="preserve">ale </w:t>
      </w:r>
      <w:r w:rsidR="00EE40F7">
        <w:rPr>
          <w:rFonts w:ascii="Verdana" w:hAnsi="Verdana"/>
          <w:bCs/>
          <w:sz w:val="24"/>
          <w:szCs w:val="24"/>
        </w:rPr>
        <w:t xml:space="preserve">lettura sarebbe </w:t>
      </w:r>
      <w:r w:rsidR="00DF47CB">
        <w:rPr>
          <w:rFonts w:ascii="Verdana" w:hAnsi="Verdana"/>
          <w:bCs/>
          <w:sz w:val="24"/>
          <w:szCs w:val="24"/>
        </w:rPr>
        <w:t>preferibile</w:t>
      </w:r>
      <w:r w:rsidR="00EE40F7">
        <w:rPr>
          <w:rFonts w:ascii="Verdana" w:hAnsi="Verdana"/>
          <w:bCs/>
          <w:sz w:val="24"/>
          <w:szCs w:val="24"/>
        </w:rPr>
        <w:t xml:space="preserve"> </w:t>
      </w:r>
      <w:r w:rsidR="00BB359C">
        <w:rPr>
          <w:rFonts w:ascii="Verdana" w:hAnsi="Verdana"/>
          <w:bCs/>
          <w:sz w:val="24"/>
          <w:szCs w:val="24"/>
        </w:rPr>
        <w:t>tanto sul piano sistematico</w:t>
      </w:r>
      <w:r w:rsidR="00EE40F7">
        <w:rPr>
          <w:rFonts w:ascii="Verdana" w:hAnsi="Verdana"/>
          <w:bCs/>
          <w:sz w:val="24"/>
          <w:szCs w:val="24"/>
        </w:rPr>
        <w:t>, poiché limiterebbe la competenza del giudice civile ai sol</w:t>
      </w:r>
      <w:r w:rsidR="00BB359C">
        <w:rPr>
          <w:rFonts w:ascii="Verdana" w:hAnsi="Verdana"/>
          <w:bCs/>
          <w:sz w:val="24"/>
          <w:szCs w:val="24"/>
        </w:rPr>
        <w:t>i</w:t>
      </w:r>
      <w:r w:rsidR="00EE40F7">
        <w:rPr>
          <w:rFonts w:ascii="Verdana" w:hAnsi="Verdana"/>
          <w:bCs/>
          <w:sz w:val="24"/>
          <w:szCs w:val="24"/>
        </w:rPr>
        <w:t xml:space="preserve"> casi espressamente previsti dall’art.35-</w:t>
      </w:r>
      <w:r w:rsidR="00EE40F7" w:rsidRPr="00EE40F7">
        <w:rPr>
          <w:rFonts w:ascii="Verdana" w:hAnsi="Verdana"/>
          <w:bCs/>
          <w:i/>
          <w:sz w:val="24"/>
          <w:szCs w:val="24"/>
        </w:rPr>
        <w:t>ter</w:t>
      </w:r>
      <w:r w:rsidR="00EA2B1A">
        <w:rPr>
          <w:rFonts w:ascii="Verdana" w:hAnsi="Verdana"/>
          <w:bCs/>
          <w:sz w:val="24"/>
          <w:szCs w:val="24"/>
        </w:rPr>
        <w:t xml:space="preserve">, </w:t>
      </w:r>
      <w:proofErr w:type="spellStart"/>
      <w:r w:rsidR="00EA2B1A">
        <w:rPr>
          <w:rFonts w:ascii="Verdana" w:hAnsi="Verdana"/>
          <w:bCs/>
          <w:sz w:val="24"/>
          <w:szCs w:val="24"/>
        </w:rPr>
        <w:t>ord</w:t>
      </w:r>
      <w:proofErr w:type="spellEnd"/>
      <w:r w:rsidR="00EA2B1A">
        <w:rPr>
          <w:rFonts w:ascii="Verdana" w:hAnsi="Verdana"/>
          <w:bCs/>
          <w:sz w:val="24"/>
          <w:szCs w:val="24"/>
        </w:rPr>
        <w:t xml:space="preserve">. </w:t>
      </w:r>
      <w:proofErr w:type="spellStart"/>
      <w:proofErr w:type="gramStart"/>
      <w:r w:rsidR="00EA2B1A">
        <w:rPr>
          <w:rFonts w:ascii="Verdana" w:hAnsi="Verdana"/>
          <w:bCs/>
          <w:sz w:val="24"/>
          <w:szCs w:val="24"/>
        </w:rPr>
        <w:t>penit</w:t>
      </w:r>
      <w:proofErr w:type="spellEnd"/>
      <w:r w:rsidR="00EA2B1A">
        <w:rPr>
          <w:rFonts w:ascii="Verdana" w:hAnsi="Verdana"/>
          <w:bCs/>
          <w:sz w:val="24"/>
          <w:szCs w:val="24"/>
        </w:rPr>
        <w:t>.,</w:t>
      </w:r>
      <w:proofErr w:type="gramEnd"/>
      <w:r w:rsidR="00EA2B1A">
        <w:rPr>
          <w:rFonts w:ascii="Verdana" w:hAnsi="Verdana"/>
          <w:bCs/>
          <w:sz w:val="24"/>
          <w:szCs w:val="24"/>
        </w:rPr>
        <w:t xml:space="preserve"> comma 3 (</w:t>
      </w:r>
      <w:r w:rsidR="00474CAB" w:rsidRPr="00093E8C">
        <w:rPr>
          <w:rFonts w:ascii="Verdana" w:hAnsi="Verdana"/>
          <w:bCs/>
          <w:sz w:val="24"/>
          <w:szCs w:val="24"/>
        </w:rPr>
        <w:t xml:space="preserve">avvenuta espiazione della pena o </w:t>
      </w:r>
      <w:r w:rsidR="00EA2B1A">
        <w:rPr>
          <w:rFonts w:ascii="Verdana" w:hAnsi="Verdana"/>
          <w:bCs/>
          <w:sz w:val="24"/>
          <w:szCs w:val="24"/>
        </w:rPr>
        <w:t xml:space="preserve">violazione subita nel corso di </w:t>
      </w:r>
      <w:r w:rsidR="00474CAB" w:rsidRPr="00093E8C">
        <w:rPr>
          <w:rFonts w:ascii="Verdana" w:hAnsi="Verdana"/>
          <w:bCs/>
          <w:sz w:val="24"/>
          <w:szCs w:val="24"/>
        </w:rPr>
        <w:t>custodia cautelare non imputabile a detrazione della pena definitiva</w:t>
      </w:r>
      <w:r w:rsidR="00EE40F7">
        <w:rPr>
          <w:rFonts w:ascii="Verdana" w:hAnsi="Verdana"/>
          <w:bCs/>
          <w:sz w:val="24"/>
          <w:szCs w:val="24"/>
        </w:rPr>
        <w:t>)</w:t>
      </w:r>
      <w:r w:rsidR="00BB359C">
        <w:rPr>
          <w:rFonts w:ascii="Verdana" w:hAnsi="Verdana"/>
          <w:bCs/>
          <w:sz w:val="24"/>
          <w:szCs w:val="24"/>
        </w:rPr>
        <w:t xml:space="preserve">, quanto su quello </w:t>
      </w:r>
      <w:r w:rsidR="00DF47CB">
        <w:rPr>
          <w:rFonts w:ascii="Verdana" w:hAnsi="Verdana"/>
          <w:bCs/>
          <w:sz w:val="24"/>
          <w:szCs w:val="24"/>
        </w:rPr>
        <w:t>letterale</w:t>
      </w:r>
      <w:r w:rsidR="00BB359C">
        <w:rPr>
          <w:rFonts w:ascii="Verdana" w:hAnsi="Verdana"/>
          <w:bCs/>
          <w:sz w:val="24"/>
          <w:szCs w:val="24"/>
        </w:rPr>
        <w:t xml:space="preserve">, che recherebbe </w:t>
      </w:r>
      <w:r w:rsidR="00EE40F7">
        <w:rPr>
          <w:rFonts w:ascii="Verdana" w:hAnsi="Verdana"/>
          <w:bCs/>
          <w:sz w:val="24"/>
          <w:szCs w:val="24"/>
        </w:rPr>
        <w:t xml:space="preserve">alcuni </w:t>
      </w:r>
      <w:r w:rsidR="00EA2B1A">
        <w:rPr>
          <w:rFonts w:ascii="Verdana" w:hAnsi="Verdana"/>
          <w:bCs/>
          <w:sz w:val="24"/>
          <w:szCs w:val="24"/>
        </w:rPr>
        <w:t>&lt;&lt;</w:t>
      </w:r>
      <w:r w:rsidR="00EE40F7">
        <w:rPr>
          <w:rFonts w:ascii="Verdana" w:hAnsi="Verdana"/>
          <w:bCs/>
          <w:sz w:val="24"/>
          <w:szCs w:val="24"/>
        </w:rPr>
        <w:t>indizi</w:t>
      </w:r>
      <w:r w:rsidR="00EA2B1A">
        <w:rPr>
          <w:rFonts w:ascii="Verdana" w:hAnsi="Verdana"/>
          <w:bCs/>
          <w:sz w:val="24"/>
          <w:szCs w:val="24"/>
        </w:rPr>
        <w:t>&gt;&gt;</w:t>
      </w:r>
      <w:r w:rsidR="008852FA">
        <w:rPr>
          <w:rFonts w:ascii="Verdana" w:hAnsi="Verdana"/>
          <w:bCs/>
          <w:sz w:val="24"/>
          <w:szCs w:val="24"/>
        </w:rPr>
        <w:t xml:space="preserve"> </w:t>
      </w:r>
      <w:r w:rsidR="00474CAB" w:rsidRPr="00093E8C">
        <w:rPr>
          <w:rFonts w:ascii="Verdana" w:hAnsi="Verdana"/>
          <w:bCs/>
          <w:sz w:val="24"/>
          <w:szCs w:val="24"/>
        </w:rPr>
        <w:t xml:space="preserve">che </w:t>
      </w:r>
      <w:r w:rsidR="00EA2B1A">
        <w:rPr>
          <w:rFonts w:ascii="Verdana" w:hAnsi="Verdana"/>
          <w:bCs/>
          <w:sz w:val="24"/>
          <w:szCs w:val="24"/>
        </w:rPr>
        <w:t xml:space="preserve">&lt;&lt; </w:t>
      </w:r>
      <w:r w:rsidR="00474CAB" w:rsidRPr="00093E8C">
        <w:rPr>
          <w:rFonts w:ascii="Verdana" w:hAnsi="Verdana"/>
          <w:bCs/>
          <w:sz w:val="24"/>
          <w:szCs w:val="24"/>
        </w:rPr>
        <w:t xml:space="preserve">fanno propendere per una volontà legislativa mal espressa e che il rinvio all’art. 69 co. 6° </w:t>
      </w:r>
      <w:proofErr w:type="spellStart"/>
      <w:r w:rsidR="00474CAB" w:rsidRPr="00093E8C">
        <w:rPr>
          <w:rFonts w:ascii="Verdana" w:hAnsi="Verdana"/>
          <w:bCs/>
          <w:sz w:val="24"/>
          <w:szCs w:val="24"/>
        </w:rPr>
        <w:t>lett</w:t>
      </w:r>
      <w:proofErr w:type="spellEnd"/>
      <w:r w:rsidR="00474CAB" w:rsidRPr="00093E8C">
        <w:rPr>
          <w:rFonts w:ascii="Verdana" w:hAnsi="Verdana"/>
          <w:bCs/>
          <w:sz w:val="24"/>
          <w:szCs w:val="24"/>
        </w:rPr>
        <w:t xml:space="preserve">. </w:t>
      </w:r>
      <w:r w:rsidR="00474CAB" w:rsidRPr="00093E8C">
        <w:rPr>
          <w:rFonts w:ascii="Verdana" w:hAnsi="Verdana"/>
          <w:bCs/>
          <w:iCs/>
          <w:sz w:val="24"/>
          <w:szCs w:val="24"/>
        </w:rPr>
        <w:t xml:space="preserve">b </w:t>
      </w:r>
      <w:proofErr w:type="spellStart"/>
      <w:r w:rsidR="00474CAB" w:rsidRPr="00093E8C">
        <w:rPr>
          <w:rFonts w:ascii="Verdana" w:hAnsi="Verdana"/>
          <w:bCs/>
          <w:iCs/>
          <w:sz w:val="24"/>
          <w:szCs w:val="24"/>
        </w:rPr>
        <w:t>ord</w:t>
      </w:r>
      <w:proofErr w:type="spellEnd"/>
      <w:r w:rsidR="00474CAB" w:rsidRPr="00093E8C">
        <w:rPr>
          <w:rFonts w:ascii="Verdana" w:hAnsi="Verdana"/>
          <w:bCs/>
          <w:iCs/>
          <w:sz w:val="24"/>
          <w:szCs w:val="24"/>
        </w:rPr>
        <w:t xml:space="preserve">. </w:t>
      </w:r>
      <w:proofErr w:type="spellStart"/>
      <w:proofErr w:type="gramStart"/>
      <w:r w:rsidR="00474CAB" w:rsidRPr="00093E8C">
        <w:rPr>
          <w:rFonts w:ascii="Verdana" w:hAnsi="Verdana"/>
          <w:bCs/>
          <w:iCs/>
          <w:sz w:val="24"/>
          <w:szCs w:val="24"/>
        </w:rPr>
        <w:t>penit</w:t>
      </w:r>
      <w:proofErr w:type="spellEnd"/>
      <w:proofErr w:type="gramEnd"/>
      <w:r w:rsidR="00474CAB" w:rsidRPr="00093E8C">
        <w:rPr>
          <w:rFonts w:ascii="Verdana" w:hAnsi="Verdana"/>
          <w:bCs/>
          <w:iCs/>
          <w:sz w:val="24"/>
          <w:szCs w:val="24"/>
        </w:rPr>
        <w:t xml:space="preserve">. </w:t>
      </w:r>
      <w:r w:rsidR="00474CAB" w:rsidRPr="00093E8C">
        <w:rPr>
          <w:rFonts w:ascii="Verdana" w:hAnsi="Verdana"/>
          <w:bCs/>
          <w:sz w:val="24"/>
          <w:szCs w:val="24"/>
        </w:rPr>
        <w:t xml:space="preserve">– certo tecnicamente poco sorvegliato </w:t>
      </w:r>
      <w:r w:rsidR="00474CAB" w:rsidRPr="00093E8C">
        <w:rPr>
          <w:rFonts w:ascii="Verdana" w:hAnsi="Verdana"/>
          <w:bCs/>
          <w:sz w:val="24"/>
          <w:szCs w:val="24"/>
          <w:lang w:val="x-none"/>
        </w:rPr>
        <w:t>–</w:t>
      </w:r>
      <w:r w:rsidR="00474CAB" w:rsidRPr="00093E8C">
        <w:rPr>
          <w:rFonts w:ascii="Verdana" w:hAnsi="Verdana"/>
          <w:bCs/>
          <w:sz w:val="24"/>
          <w:szCs w:val="24"/>
        </w:rPr>
        <w:t xml:space="preserve"> intendesse significare soltanto che la fattispecie disciplinata dall’art. in esame riguarda una particolare </w:t>
      </w:r>
      <w:proofErr w:type="spellStart"/>
      <w:r w:rsidR="00474CAB" w:rsidRPr="00093E8C">
        <w:rPr>
          <w:rFonts w:ascii="Verdana" w:hAnsi="Verdana"/>
          <w:bCs/>
          <w:sz w:val="24"/>
          <w:szCs w:val="24"/>
        </w:rPr>
        <w:t>species</w:t>
      </w:r>
      <w:proofErr w:type="spellEnd"/>
      <w:r w:rsidR="00474CAB" w:rsidRPr="00093E8C">
        <w:rPr>
          <w:rFonts w:ascii="Verdana" w:hAnsi="Verdana"/>
          <w:bCs/>
          <w:sz w:val="24"/>
          <w:szCs w:val="24"/>
        </w:rPr>
        <w:t xml:space="preserve"> del </w:t>
      </w:r>
      <w:proofErr w:type="spellStart"/>
      <w:r w:rsidR="00474CAB" w:rsidRPr="00093E8C">
        <w:rPr>
          <w:rFonts w:ascii="Verdana" w:hAnsi="Verdana"/>
          <w:bCs/>
          <w:sz w:val="24"/>
          <w:szCs w:val="24"/>
        </w:rPr>
        <w:t>genus</w:t>
      </w:r>
      <w:proofErr w:type="spellEnd"/>
      <w:r w:rsidR="00474CAB" w:rsidRPr="00093E8C">
        <w:rPr>
          <w:rFonts w:ascii="Verdana" w:hAnsi="Verdana"/>
          <w:bCs/>
          <w:sz w:val="24"/>
          <w:szCs w:val="24"/>
        </w:rPr>
        <w:t xml:space="preserve"> “pregiudizio all’esercizio dei diritti” dovuto a inosservanza da parte dell’amministrazione di disposizioni previste dall’ordinamento penitenziario</w:t>
      </w:r>
      <w:r w:rsidR="00EA2B1A">
        <w:rPr>
          <w:rFonts w:ascii="Verdana" w:hAnsi="Verdana"/>
          <w:bCs/>
          <w:sz w:val="24"/>
          <w:szCs w:val="24"/>
        </w:rPr>
        <w:t>&gt;&gt;</w:t>
      </w:r>
      <w:r w:rsidR="008852FA">
        <w:rPr>
          <w:rStyle w:val="Rimandonotaapidipagina"/>
          <w:rFonts w:ascii="Verdana" w:hAnsi="Verdana"/>
          <w:bCs/>
          <w:sz w:val="24"/>
          <w:szCs w:val="24"/>
        </w:rPr>
        <w:footnoteReference w:id="10"/>
      </w:r>
      <w:r w:rsidR="008852FA">
        <w:rPr>
          <w:rFonts w:ascii="Verdana" w:hAnsi="Verdana"/>
          <w:bCs/>
          <w:sz w:val="24"/>
          <w:szCs w:val="24"/>
        </w:rPr>
        <w:t>.</w:t>
      </w:r>
      <w:r w:rsidR="00474CAB" w:rsidRPr="00093E8C">
        <w:rPr>
          <w:rFonts w:ascii="Verdana" w:hAnsi="Verdana"/>
          <w:bCs/>
          <w:i/>
          <w:sz w:val="24"/>
          <w:szCs w:val="24"/>
        </w:rPr>
        <w:t xml:space="preserve"> </w:t>
      </w:r>
    </w:p>
    <w:p w:rsidR="00746EB6" w:rsidRDefault="008852FA" w:rsidP="00746EB6">
      <w:pPr>
        <w:spacing w:after="0" w:line="360" w:lineRule="auto"/>
        <w:ind w:firstLine="708"/>
        <w:jc w:val="both"/>
        <w:rPr>
          <w:rFonts w:ascii="Verdana" w:hAnsi="Verdana"/>
          <w:bCs/>
          <w:sz w:val="24"/>
          <w:szCs w:val="24"/>
        </w:rPr>
      </w:pPr>
      <w:r w:rsidRPr="00093E8C">
        <w:rPr>
          <w:rFonts w:ascii="Verdana" w:hAnsi="Verdana"/>
          <w:bCs/>
          <w:sz w:val="24"/>
          <w:szCs w:val="24"/>
        </w:rPr>
        <w:t xml:space="preserve">A fronte di </w:t>
      </w:r>
      <w:r w:rsidR="00BB359C">
        <w:rPr>
          <w:rFonts w:ascii="Verdana" w:hAnsi="Verdana"/>
          <w:bCs/>
          <w:sz w:val="24"/>
          <w:szCs w:val="24"/>
        </w:rPr>
        <w:t xml:space="preserve">prospettazioni </w:t>
      </w:r>
      <w:r w:rsidRPr="00093E8C">
        <w:rPr>
          <w:rFonts w:ascii="Verdana" w:hAnsi="Verdana"/>
          <w:bCs/>
          <w:sz w:val="24"/>
          <w:szCs w:val="24"/>
        </w:rPr>
        <w:t xml:space="preserve">parimenti </w:t>
      </w:r>
      <w:r w:rsidR="00EA2B1A">
        <w:rPr>
          <w:rFonts w:ascii="Verdana" w:hAnsi="Verdana"/>
          <w:bCs/>
          <w:sz w:val="24"/>
          <w:szCs w:val="24"/>
        </w:rPr>
        <w:t xml:space="preserve">sostenibili </w:t>
      </w:r>
      <w:r w:rsidRPr="00093E8C">
        <w:rPr>
          <w:rFonts w:ascii="Verdana" w:hAnsi="Verdana"/>
          <w:bCs/>
          <w:sz w:val="24"/>
          <w:szCs w:val="24"/>
        </w:rPr>
        <w:t xml:space="preserve">(e </w:t>
      </w:r>
      <w:r w:rsidR="00BB359C">
        <w:rPr>
          <w:rFonts w:ascii="Verdana" w:hAnsi="Verdana"/>
          <w:bCs/>
          <w:sz w:val="24"/>
          <w:szCs w:val="24"/>
        </w:rPr>
        <w:t xml:space="preserve">nella stessa misura </w:t>
      </w:r>
      <w:r w:rsidRPr="00093E8C">
        <w:rPr>
          <w:rFonts w:ascii="Verdana" w:hAnsi="Verdana"/>
          <w:bCs/>
          <w:sz w:val="24"/>
          <w:szCs w:val="24"/>
        </w:rPr>
        <w:t xml:space="preserve">non </w:t>
      </w:r>
      <w:r w:rsidR="00BB359C">
        <w:rPr>
          <w:rFonts w:ascii="Verdana" w:hAnsi="Verdana"/>
          <w:bCs/>
          <w:sz w:val="24"/>
          <w:szCs w:val="24"/>
        </w:rPr>
        <w:t xml:space="preserve">esenti </w:t>
      </w:r>
      <w:r w:rsidRPr="00093E8C">
        <w:rPr>
          <w:rFonts w:ascii="Verdana" w:hAnsi="Verdana"/>
          <w:bCs/>
          <w:sz w:val="24"/>
          <w:szCs w:val="24"/>
        </w:rPr>
        <w:t xml:space="preserve">da profili di criticità), un’autorevole posizione ha concluso che “a parità di plausibilità ermeneutica, si debba privilegiare </w:t>
      </w:r>
      <w:r w:rsidR="00BB359C">
        <w:rPr>
          <w:rFonts w:ascii="Verdana" w:hAnsi="Verdana"/>
          <w:bCs/>
          <w:sz w:val="24"/>
          <w:szCs w:val="24"/>
        </w:rPr>
        <w:t>la lettura</w:t>
      </w:r>
      <w:r w:rsidRPr="00093E8C">
        <w:rPr>
          <w:rFonts w:ascii="Verdana" w:hAnsi="Verdana"/>
          <w:bCs/>
          <w:sz w:val="24"/>
          <w:szCs w:val="24"/>
        </w:rPr>
        <w:t xml:space="preserve"> che crea meno scompensi al sistema, che evita disparità di trattamento, che rende più accessibile ed efficace l’intervento risarcitorio e che meglio corrisponda alle </w:t>
      </w:r>
      <w:r w:rsidRPr="00093E8C">
        <w:rPr>
          <w:rFonts w:ascii="Verdana" w:hAnsi="Verdana"/>
          <w:bCs/>
          <w:sz w:val="24"/>
          <w:szCs w:val="24"/>
        </w:rPr>
        <w:lastRenderedPageBreak/>
        <w:t xml:space="preserve">prescrizioni della C. </w:t>
      </w:r>
      <w:proofErr w:type="spellStart"/>
      <w:r w:rsidRPr="00093E8C">
        <w:rPr>
          <w:rFonts w:ascii="Verdana" w:hAnsi="Verdana"/>
          <w:bCs/>
          <w:sz w:val="24"/>
          <w:szCs w:val="24"/>
        </w:rPr>
        <w:t>eur</w:t>
      </w:r>
      <w:proofErr w:type="spellEnd"/>
      <w:r w:rsidRPr="00093E8C">
        <w:rPr>
          <w:rFonts w:ascii="Verdana" w:hAnsi="Verdana"/>
          <w:bCs/>
          <w:sz w:val="24"/>
          <w:szCs w:val="24"/>
        </w:rPr>
        <w:t xml:space="preserve">. Vale a dire, quella secondo cui il risarcimento per un trattamento inumano </w:t>
      </w:r>
      <w:proofErr w:type="spellStart"/>
      <w:r w:rsidRPr="00093E8C">
        <w:rPr>
          <w:rFonts w:ascii="Verdana" w:hAnsi="Verdana"/>
          <w:bCs/>
          <w:sz w:val="24"/>
          <w:szCs w:val="24"/>
        </w:rPr>
        <w:t>presofferto</w:t>
      </w:r>
      <w:proofErr w:type="spellEnd"/>
      <w:r w:rsidRPr="00093E8C">
        <w:rPr>
          <w:rFonts w:ascii="Verdana" w:hAnsi="Verdana"/>
          <w:bCs/>
          <w:sz w:val="24"/>
          <w:szCs w:val="24"/>
        </w:rPr>
        <w:t xml:space="preserve"> da soggetto ancora detenuto va disposto dal </w:t>
      </w:r>
      <w:proofErr w:type="spellStart"/>
      <w:r w:rsidRPr="00093E8C">
        <w:rPr>
          <w:rFonts w:ascii="Verdana" w:hAnsi="Verdana"/>
          <w:bCs/>
          <w:sz w:val="24"/>
          <w:szCs w:val="24"/>
        </w:rPr>
        <w:t>mag</w:t>
      </w:r>
      <w:proofErr w:type="spellEnd"/>
      <w:r w:rsidRPr="00093E8C">
        <w:rPr>
          <w:rFonts w:ascii="Verdana" w:hAnsi="Verdana"/>
          <w:bCs/>
          <w:sz w:val="24"/>
          <w:szCs w:val="24"/>
        </w:rPr>
        <w:t xml:space="preserve">. </w:t>
      </w:r>
      <w:proofErr w:type="spellStart"/>
      <w:proofErr w:type="gramStart"/>
      <w:r w:rsidRPr="00093E8C">
        <w:rPr>
          <w:rFonts w:ascii="Verdana" w:hAnsi="Verdana"/>
          <w:bCs/>
          <w:sz w:val="24"/>
          <w:szCs w:val="24"/>
        </w:rPr>
        <w:t>sorv</w:t>
      </w:r>
      <w:proofErr w:type="spellEnd"/>
      <w:r w:rsidRPr="00093E8C">
        <w:rPr>
          <w:rFonts w:ascii="Verdana" w:hAnsi="Verdana"/>
          <w:bCs/>
          <w:sz w:val="24"/>
          <w:szCs w:val="24"/>
        </w:rPr>
        <w:t>.,</w:t>
      </w:r>
      <w:proofErr w:type="gramEnd"/>
      <w:r w:rsidRPr="00093E8C">
        <w:rPr>
          <w:rFonts w:ascii="Verdana" w:hAnsi="Verdana"/>
          <w:bCs/>
          <w:sz w:val="24"/>
          <w:szCs w:val="24"/>
        </w:rPr>
        <w:t xml:space="preserve"> la cui giurisdizione sta e termina con lo status </w:t>
      </w:r>
      <w:proofErr w:type="spellStart"/>
      <w:r w:rsidRPr="00093E8C">
        <w:rPr>
          <w:rFonts w:ascii="Verdana" w:hAnsi="Verdana"/>
          <w:bCs/>
          <w:sz w:val="24"/>
          <w:szCs w:val="24"/>
        </w:rPr>
        <w:t>detentionis</w:t>
      </w:r>
      <w:proofErr w:type="spellEnd"/>
      <w:r w:rsidRPr="00093E8C">
        <w:rPr>
          <w:rFonts w:ascii="Verdana" w:hAnsi="Verdana"/>
          <w:bCs/>
          <w:sz w:val="24"/>
          <w:szCs w:val="24"/>
        </w:rPr>
        <w:t xml:space="preserve"> del richiedente”</w:t>
      </w:r>
      <w:r>
        <w:rPr>
          <w:rStyle w:val="Rimandonotaapidipagina"/>
          <w:rFonts w:ascii="Verdana" w:hAnsi="Verdana"/>
          <w:bCs/>
          <w:sz w:val="24"/>
          <w:szCs w:val="24"/>
        </w:rPr>
        <w:footnoteReference w:id="11"/>
      </w:r>
      <w:r>
        <w:rPr>
          <w:rFonts w:ascii="Verdana" w:hAnsi="Verdana"/>
          <w:bCs/>
          <w:sz w:val="24"/>
          <w:szCs w:val="24"/>
        </w:rPr>
        <w:t xml:space="preserve">. </w:t>
      </w:r>
    </w:p>
    <w:p w:rsidR="00746EB6" w:rsidRDefault="00BB359C" w:rsidP="00DF47CB">
      <w:pPr>
        <w:spacing w:after="0" w:line="360" w:lineRule="auto"/>
        <w:ind w:firstLine="709"/>
        <w:jc w:val="both"/>
        <w:rPr>
          <w:rFonts w:ascii="Verdana" w:hAnsi="Verdana"/>
          <w:bCs/>
          <w:iCs/>
          <w:sz w:val="24"/>
          <w:szCs w:val="24"/>
        </w:rPr>
      </w:pPr>
      <w:r>
        <w:rPr>
          <w:rFonts w:ascii="Verdana" w:hAnsi="Verdana"/>
          <w:bCs/>
          <w:iCs/>
          <w:sz w:val="24"/>
          <w:szCs w:val="24"/>
        </w:rPr>
        <w:t xml:space="preserve">Tale punto di </w:t>
      </w:r>
      <w:r w:rsidR="00EA2B1A">
        <w:rPr>
          <w:rFonts w:ascii="Verdana" w:hAnsi="Verdana"/>
          <w:bCs/>
          <w:iCs/>
          <w:sz w:val="24"/>
          <w:szCs w:val="24"/>
        </w:rPr>
        <w:t>sintesi</w:t>
      </w:r>
      <w:r>
        <w:rPr>
          <w:rFonts w:ascii="Verdana" w:hAnsi="Verdana"/>
          <w:bCs/>
          <w:iCs/>
          <w:sz w:val="24"/>
          <w:szCs w:val="24"/>
        </w:rPr>
        <w:t xml:space="preserve"> della tormentata vicenda esegetica </w:t>
      </w:r>
      <w:r w:rsidR="00651319">
        <w:rPr>
          <w:rFonts w:ascii="Verdana" w:hAnsi="Verdana"/>
          <w:bCs/>
          <w:iCs/>
          <w:sz w:val="24"/>
          <w:szCs w:val="24"/>
        </w:rPr>
        <w:t xml:space="preserve">qui evocata </w:t>
      </w:r>
      <w:r>
        <w:rPr>
          <w:rFonts w:ascii="Verdana" w:hAnsi="Verdana"/>
          <w:bCs/>
          <w:iCs/>
          <w:sz w:val="24"/>
          <w:szCs w:val="24"/>
        </w:rPr>
        <w:t xml:space="preserve"> </w:t>
      </w:r>
      <w:r w:rsidR="00FB6397">
        <w:rPr>
          <w:rFonts w:ascii="Verdana" w:hAnsi="Verdana"/>
          <w:bCs/>
          <w:iCs/>
          <w:sz w:val="24"/>
          <w:szCs w:val="24"/>
        </w:rPr>
        <w:t xml:space="preserve">tradisce </w:t>
      </w:r>
      <w:r>
        <w:rPr>
          <w:rFonts w:ascii="Verdana" w:hAnsi="Verdana"/>
          <w:bCs/>
          <w:iCs/>
          <w:sz w:val="24"/>
          <w:szCs w:val="24"/>
        </w:rPr>
        <w:t xml:space="preserve">il vero </w:t>
      </w:r>
      <w:r w:rsidR="005931F6">
        <w:rPr>
          <w:rFonts w:ascii="Verdana" w:hAnsi="Verdana"/>
          <w:bCs/>
          <w:iCs/>
          <w:sz w:val="24"/>
          <w:szCs w:val="24"/>
        </w:rPr>
        <w:t>nodo</w:t>
      </w:r>
      <w:r>
        <w:rPr>
          <w:rFonts w:ascii="Verdana" w:hAnsi="Verdana"/>
          <w:bCs/>
          <w:iCs/>
          <w:sz w:val="24"/>
          <w:szCs w:val="24"/>
        </w:rPr>
        <w:t xml:space="preserve"> </w:t>
      </w:r>
      <w:r w:rsidR="008852FA">
        <w:rPr>
          <w:rFonts w:ascii="Verdana" w:hAnsi="Verdana"/>
          <w:bCs/>
          <w:iCs/>
          <w:sz w:val="24"/>
          <w:szCs w:val="24"/>
        </w:rPr>
        <w:t>fondamentale</w:t>
      </w:r>
      <w:r>
        <w:rPr>
          <w:rFonts w:ascii="Verdana" w:hAnsi="Verdana"/>
          <w:bCs/>
          <w:iCs/>
          <w:sz w:val="24"/>
          <w:szCs w:val="24"/>
        </w:rPr>
        <w:t xml:space="preserve"> della questione: </w:t>
      </w:r>
      <w:r w:rsidR="008852FA">
        <w:rPr>
          <w:rFonts w:ascii="Verdana" w:hAnsi="Verdana"/>
          <w:bCs/>
          <w:iCs/>
          <w:sz w:val="24"/>
          <w:szCs w:val="24"/>
        </w:rPr>
        <w:t>il fatto che</w:t>
      </w:r>
      <w:r>
        <w:rPr>
          <w:rFonts w:ascii="Verdana" w:hAnsi="Verdana"/>
          <w:bCs/>
          <w:iCs/>
          <w:sz w:val="24"/>
          <w:szCs w:val="24"/>
        </w:rPr>
        <w:t>,</w:t>
      </w:r>
      <w:r w:rsidR="008852FA">
        <w:rPr>
          <w:rFonts w:ascii="Verdana" w:hAnsi="Verdana"/>
          <w:bCs/>
          <w:iCs/>
          <w:sz w:val="24"/>
          <w:szCs w:val="24"/>
        </w:rPr>
        <w:t xml:space="preserve"> pur essendo probabilmente la tesi giuridicamente più </w:t>
      </w:r>
      <w:r>
        <w:rPr>
          <w:rFonts w:ascii="Verdana" w:hAnsi="Verdana"/>
          <w:bCs/>
          <w:iCs/>
          <w:sz w:val="24"/>
          <w:szCs w:val="24"/>
        </w:rPr>
        <w:t>rigorosa</w:t>
      </w:r>
      <w:r w:rsidR="008852FA">
        <w:rPr>
          <w:rFonts w:ascii="Verdana" w:hAnsi="Verdana"/>
          <w:bCs/>
          <w:iCs/>
          <w:sz w:val="24"/>
          <w:szCs w:val="24"/>
        </w:rPr>
        <w:t xml:space="preserve"> sul piano interpretativo quella c.d. </w:t>
      </w:r>
      <w:r w:rsidR="00EE40F7" w:rsidRPr="00093E8C">
        <w:rPr>
          <w:rFonts w:ascii="Verdana" w:hAnsi="Verdana"/>
          <w:bCs/>
          <w:iCs/>
          <w:sz w:val="24"/>
          <w:szCs w:val="24"/>
        </w:rPr>
        <w:t>"attuali</w:t>
      </w:r>
      <w:r w:rsidR="008852FA">
        <w:rPr>
          <w:rFonts w:ascii="Verdana" w:hAnsi="Verdana"/>
          <w:bCs/>
          <w:iCs/>
          <w:sz w:val="24"/>
          <w:szCs w:val="24"/>
        </w:rPr>
        <w:t>s</w:t>
      </w:r>
      <w:r w:rsidR="00EE40F7" w:rsidRPr="00093E8C">
        <w:rPr>
          <w:rFonts w:ascii="Verdana" w:hAnsi="Verdana"/>
          <w:bCs/>
          <w:iCs/>
          <w:sz w:val="24"/>
          <w:szCs w:val="24"/>
        </w:rPr>
        <w:t>t</w:t>
      </w:r>
      <w:r w:rsidR="00DF47CB">
        <w:rPr>
          <w:rFonts w:ascii="Verdana" w:hAnsi="Verdana"/>
          <w:bCs/>
          <w:iCs/>
          <w:sz w:val="24"/>
          <w:szCs w:val="24"/>
        </w:rPr>
        <w:t>a”</w:t>
      </w:r>
      <w:r>
        <w:rPr>
          <w:rFonts w:ascii="Verdana" w:hAnsi="Verdana"/>
          <w:bCs/>
          <w:iCs/>
          <w:sz w:val="24"/>
          <w:szCs w:val="24"/>
        </w:rPr>
        <w:t xml:space="preserve">, essa </w:t>
      </w:r>
      <w:r w:rsidR="00EE40F7" w:rsidRPr="00093E8C">
        <w:rPr>
          <w:rFonts w:ascii="Verdana" w:hAnsi="Verdana"/>
          <w:bCs/>
          <w:iCs/>
          <w:sz w:val="24"/>
          <w:szCs w:val="24"/>
        </w:rPr>
        <w:t>condu</w:t>
      </w:r>
      <w:r w:rsidR="008852FA">
        <w:rPr>
          <w:rFonts w:ascii="Verdana" w:hAnsi="Verdana"/>
          <w:bCs/>
          <w:iCs/>
          <w:sz w:val="24"/>
          <w:szCs w:val="24"/>
        </w:rPr>
        <w:t>ce</w:t>
      </w:r>
      <w:r w:rsidR="00EE40F7" w:rsidRPr="00093E8C">
        <w:rPr>
          <w:rFonts w:ascii="Verdana" w:hAnsi="Verdana"/>
          <w:bCs/>
          <w:iCs/>
          <w:sz w:val="24"/>
          <w:szCs w:val="24"/>
        </w:rPr>
        <w:t xml:space="preserve"> </w:t>
      </w:r>
      <w:r>
        <w:rPr>
          <w:rFonts w:ascii="Verdana" w:hAnsi="Verdana"/>
          <w:bCs/>
          <w:iCs/>
          <w:sz w:val="24"/>
          <w:szCs w:val="24"/>
        </w:rPr>
        <w:t xml:space="preserve">inevitabilmente </w:t>
      </w:r>
      <w:r w:rsidR="00EE40F7" w:rsidRPr="00093E8C">
        <w:rPr>
          <w:rFonts w:ascii="Verdana" w:hAnsi="Verdana"/>
          <w:bCs/>
          <w:iCs/>
          <w:sz w:val="24"/>
          <w:szCs w:val="24"/>
        </w:rPr>
        <w:t>al risultato di vanificare, sul p</w:t>
      </w:r>
      <w:r w:rsidR="008852FA">
        <w:rPr>
          <w:rFonts w:ascii="Verdana" w:hAnsi="Verdana"/>
          <w:bCs/>
          <w:iCs/>
          <w:sz w:val="24"/>
          <w:szCs w:val="24"/>
        </w:rPr>
        <w:t>i</w:t>
      </w:r>
      <w:r w:rsidR="00EE40F7" w:rsidRPr="00093E8C">
        <w:rPr>
          <w:rFonts w:ascii="Verdana" w:hAnsi="Verdana"/>
          <w:bCs/>
          <w:iCs/>
          <w:sz w:val="24"/>
          <w:szCs w:val="24"/>
        </w:rPr>
        <w:t xml:space="preserve">ano </w:t>
      </w:r>
      <w:r w:rsidR="00821EC8">
        <w:rPr>
          <w:rFonts w:ascii="Verdana" w:hAnsi="Verdana"/>
          <w:bCs/>
          <w:iCs/>
          <w:sz w:val="24"/>
          <w:szCs w:val="24"/>
        </w:rPr>
        <w:t>dell</w:t>
      </w:r>
      <w:r w:rsidR="009C37CB">
        <w:rPr>
          <w:rFonts w:ascii="Verdana" w:hAnsi="Verdana"/>
          <w:bCs/>
          <w:iCs/>
          <w:sz w:val="24"/>
          <w:szCs w:val="24"/>
        </w:rPr>
        <w:t xml:space="preserve">a concreta </w:t>
      </w:r>
      <w:r w:rsidR="00821EC8">
        <w:rPr>
          <w:rFonts w:ascii="Verdana" w:hAnsi="Verdana"/>
          <w:bCs/>
          <w:iCs/>
          <w:sz w:val="24"/>
          <w:szCs w:val="24"/>
        </w:rPr>
        <w:t>effettività,</w:t>
      </w:r>
      <w:r w:rsidR="00EE40F7" w:rsidRPr="00093E8C">
        <w:rPr>
          <w:rFonts w:ascii="Verdana" w:hAnsi="Verdana"/>
          <w:bCs/>
          <w:iCs/>
          <w:sz w:val="24"/>
          <w:szCs w:val="24"/>
        </w:rPr>
        <w:t xml:space="preserve"> la tutela risarcitoria</w:t>
      </w:r>
      <w:r w:rsidR="008852FA">
        <w:rPr>
          <w:rFonts w:ascii="Verdana" w:hAnsi="Verdana"/>
          <w:bCs/>
          <w:iCs/>
          <w:sz w:val="24"/>
          <w:szCs w:val="24"/>
        </w:rPr>
        <w:t xml:space="preserve"> introdotta con i </w:t>
      </w:r>
      <w:r w:rsidR="00EE40F7" w:rsidRPr="00093E8C">
        <w:rPr>
          <w:rFonts w:ascii="Verdana" w:hAnsi="Verdana"/>
          <w:bCs/>
          <w:iCs/>
          <w:sz w:val="24"/>
          <w:szCs w:val="24"/>
        </w:rPr>
        <w:t xml:space="preserve">rimedi </w:t>
      </w:r>
      <w:r w:rsidR="008852FA">
        <w:rPr>
          <w:rFonts w:ascii="Verdana" w:hAnsi="Verdana"/>
          <w:bCs/>
          <w:iCs/>
          <w:sz w:val="24"/>
          <w:szCs w:val="24"/>
        </w:rPr>
        <w:t>“compensativi”</w:t>
      </w:r>
      <w:r w:rsidR="00EE40F7" w:rsidRPr="00093E8C">
        <w:rPr>
          <w:rFonts w:ascii="Verdana" w:hAnsi="Verdana"/>
          <w:bCs/>
          <w:iCs/>
          <w:sz w:val="24"/>
          <w:szCs w:val="24"/>
        </w:rPr>
        <w:t xml:space="preserve">, </w:t>
      </w:r>
      <w:r w:rsidR="008852FA">
        <w:rPr>
          <w:rFonts w:ascii="Verdana" w:hAnsi="Verdana"/>
          <w:bCs/>
          <w:iCs/>
          <w:sz w:val="24"/>
          <w:szCs w:val="24"/>
        </w:rPr>
        <w:t xml:space="preserve">perché, </w:t>
      </w:r>
      <w:r w:rsidR="00821EC8">
        <w:rPr>
          <w:rFonts w:ascii="Verdana" w:hAnsi="Verdana"/>
          <w:bCs/>
          <w:iCs/>
          <w:sz w:val="24"/>
          <w:szCs w:val="24"/>
        </w:rPr>
        <w:t>se si rivolgesse al</w:t>
      </w:r>
      <w:r w:rsidR="00DF47CB">
        <w:rPr>
          <w:rFonts w:ascii="Verdana" w:hAnsi="Verdana"/>
          <w:bCs/>
          <w:iCs/>
          <w:sz w:val="24"/>
          <w:szCs w:val="24"/>
        </w:rPr>
        <w:t>la</w:t>
      </w:r>
      <w:r w:rsidR="00821EC8">
        <w:rPr>
          <w:rFonts w:ascii="Verdana" w:hAnsi="Verdana"/>
          <w:bCs/>
          <w:iCs/>
          <w:sz w:val="24"/>
          <w:szCs w:val="24"/>
        </w:rPr>
        <w:t xml:space="preserve"> sol</w:t>
      </w:r>
      <w:r w:rsidR="00DF47CB">
        <w:rPr>
          <w:rFonts w:ascii="Verdana" w:hAnsi="Verdana"/>
          <w:bCs/>
          <w:iCs/>
          <w:sz w:val="24"/>
          <w:szCs w:val="24"/>
        </w:rPr>
        <w:t xml:space="preserve">a riparazione </w:t>
      </w:r>
      <w:r w:rsidR="00821EC8">
        <w:rPr>
          <w:rFonts w:ascii="Verdana" w:hAnsi="Verdana"/>
          <w:bCs/>
          <w:iCs/>
          <w:sz w:val="24"/>
          <w:szCs w:val="24"/>
        </w:rPr>
        <w:t xml:space="preserve">dei pregiudizi ancora attuali al momento della proposizione del ricorso (e della relativa decisione), </w:t>
      </w:r>
      <w:r w:rsidR="009C37CB">
        <w:rPr>
          <w:rFonts w:ascii="Verdana" w:hAnsi="Verdana"/>
          <w:bCs/>
          <w:iCs/>
          <w:sz w:val="24"/>
          <w:szCs w:val="24"/>
        </w:rPr>
        <w:t>il rimedio dell’art. 35-</w:t>
      </w:r>
      <w:r w:rsidR="009C37CB" w:rsidRPr="009C37CB">
        <w:rPr>
          <w:rFonts w:ascii="Verdana" w:hAnsi="Verdana"/>
          <w:bCs/>
          <w:i/>
          <w:iCs/>
          <w:sz w:val="24"/>
          <w:szCs w:val="24"/>
        </w:rPr>
        <w:t>ter</w:t>
      </w:r>
      <w:r w:rsidR="009C37CB">
        <w:rPr>
          <w:rFonts w:ascii="Verdana" w:hAnsi="Verdana"/>
          <w:bCs/>
          <w:i/>
          <w:iCs/>
          <w:sz w:val="24"/>
          <w:szCs w:val="24"/>
        </w:rPr>
        <w:t>,</w:t>
      </w:r>
      <w:r w:rsidR="009C37CB">
        <w:rPr>
          <w:rFonts w:ascii="Verdana" w:hAnsi="Verdana"/>
          <w:bCs/>
          <w:iCs/>
          <w:sz w:val="24"/>
          <w:szCs w:val="24"/>
        </w:rPr>
        <w:t xml:space="preserve"> </w:t>
      </w:r>
      <w:proofErr w:type="spellStart"/>
      <w:r w:rsidR="009C37CB">
        <w:rPr>
          <w:rFonts w:ascii="Verdana" w:hAnsi="Verdana"/>
          <w:bCs/>
          <w:iCs/>
          <w:sz w:val="24"/>
          <w:szCs w:val="24"/>
        </w:rPr>
        <w:t>ord</w:t>
      </w:r>
      <w:proofErr w:type="spellEnd"/>
      <w:r w:rsidR="009C37CB">
        <w:rPr>
          <w:rFonts w:ascii="Verdana" w:hAnsi="Verdana"/>
          <w:bCs/>
          <w:iCs/>
          <w:sz w:val="24"/>
          <w:szCs w:val="24"/>
        </w:rPr>
        <w:t xml:space="preserve">. </w:t>
      </w:r>
      <w:proofErr w:type="spellStart"/>
      <w:proofErr w:type="gramStart"/>
      <w:r w:rsidR="009C37CB">
        <w:rPr>
          <w:rFonts w:ascii="Verdana" w:hAnsi="Verdana"/>
          <w:bCs/>
          <w:iCs/>
          <w:sz w:val="24"/>
          <w:szCs w:val="24"/>
        </w:rPr>
        <w:t>penit</w:t>
      </w:r>
      <w:proofErr w:type="spellEnd"/>
      <w:r w:rsidR="009C37CB">
        <w:rPr>
          <w:rFonts w:ascii="Verdana" w:hAnsi="Verdana"/>
          <w:bCs/>
          <w:iCs/>
          <w:sz w:val="24"/>
          <w:szCs w:val="24"/>
        </w:rPr>
        <w:t>.,</w:t>
      </w:r>
      <w:proofErr w:type="gramEnd"/>
      <w:r w:rsidR="009C37CB">
        <w:rPr>
          <w:rFonts w:ascii="Verdana" w:hAnsi="Verdana"/>
          <w:bCs/>
          <w:iCs/>
          <w:sz w:val="24"/>
          <w:szCs w:val="24"/>
        </w:rPr>
        <w:t xml:space="preserve"> </w:t>
      </w:r>
      <w:r w:rsidR="00821EC8">
        <w:rPr>
          <w:rFonts w:ascii="Verdana" w:hAnsi="Verdana"/>
          <w:bCs/>
          <w:iCs/>
          <w:sz w:val="24"/>
          <w:szCs w:val="24"/>
        </w:rPr>
        <w:t xml:space="preserve">escluderebbe </w:t>
      </w:r>
      <w:r w:rsidR="00EA2B1A">
        <w:rPr>
          <w:rFonts w:ascii="Verdana" w:hAnsi="Verdana"/>
          <w:bCs/>
          <w:iCs/>
          <w:sz w:val="24"/>
          <w:szCs w:val="24"/>
        </w:rPr>
        <w:t xml:space="preserve">– come si è </w:t>
      </w:r>
      <w:r w:rsidR="009C37CB">
        <w:rPr>
          <w:rFonts w:ascii="Verdana" w:hAnsi="Verdana"/>
          <w:bCs/>
          <w:iCs/>
          <w:sz w:val="24"/>
          <w:szCs w:val="24"/>
        </w:rPr>
        <w:t xml:space="preserve">già </w:t>
      </w:r>
      <w:r w:rsidR="00EA2B1A">
        <w:rPr>
          <w:rFonts w:ascii="Verdana" w:hAnsi="Verdana"/>
          <w:bCs/>
          <w:iCs/>
          <w:sz w:val="24"/>
          <w:szCs w:val="24"/>
        </w:rPr>
        <w:t xml:space="preserve">rilevato - </w:t>
      </w:r>
      <w:r w:rsidR="00821EC8">
        <w:rPr>
          <w:rFonts w:ascii="Verdana" w:hAnsi="Verdana"/>
          <w:bCs/>
          <w:iCs/>
          <w:sz w:val="24"/>
          <w:szCs w:val="24"/>
        </w:rPr>
        <w:t xml:space="preserve">dalla </w:t>
      </w:r>
      <w:r w:rsidR="00DF47CB">
        <w:rPr>
          <w:rFonts w:ascii="Verdana" w:hAnsi="Verdana"/>
          <w:bCs/>
          <w:iCs/>
          <w:sz w:val="24"/>
          <w:szCs w:val="24"/>
        </w:rPr>
        <w:t xml:space="preserve">potenziale </w:t>
      </w:r>
      <w:r w:rsidR="00821EC8">
        <w:rPr>
          <w:rFonts w:ascii="Verdana" w:hAnsi="Verdana"/>
          <w:bCs/>
          <w:iCs/>
          <w:sz w:val="24"/>
          <w:szCs w:val="24"/>
        </w:rPr>
        <w:t>platea applicativa la gran parte delle situazioni detentive</w:t>
      </w:r>
      <w:r w:rsidR="00EE40F7" w:rsidRPr="00093E8C">
        <w:rPr>
          <w:rFonts w:ascii="Verdana" w:hAnsi="Verdana"/>
          <w:bCs/>
          <w:iCs/>
          <w:sz w:val="24"/>
          <w:szCs w:val="24"/>
        </w:rPr>
        <w:t>.</w:t>
      </w:r>
    </w:p>
    <w:p w:rsidR="008852FA" w:rsidRDefault="00EE40F7" w:rsidP="00746EB6">
      <w:pPr>
        <w:spacing w:after="0" w:line="360" w:lineRule="auto"/>
        <w:ind w:firstLine="708"/>
        <w:jc w:val="both"/>
        <w:rPr>
          <w:rFonts w:ascii="Verdana" w:hAnsi="Verdana"/>
          <w:bCs/>
          <w:sz w:val="24"/>
          <w:szCs w:val="24"/>
        </w:rPr>
      </w:pPr>
      <w:r w:rsidRPr="00093E8C">
        <w:rPr>
          <w:rFonts w:ascii="Verdana" w:hAnsi="Verdana"/>
          <w:bCs/>
          <w:iCs/>
          <w:sz w:val="24"/>
          <w:szCs w:val="24"/>
        </w:rPr>
        <w:t xml:space="preserve"> </w:t>
      </w:r>
    </w:p>
    <w:p w:rsidR="005931F6" w:rsidRPr="00DF47CB" w:rsidRDefault="00DF47CB" w:rsidP="00DF47CB">
      <w:pPr>
        <w:spacing w:after="0" w:line="360" w:lineRule="auto"/>
        <w:jc w:val="both"/>
        <w:rPr>
          <w:rFonts w:ascii="Verdana" w:hAnsi="Verdana"/>
          <w:b/>
          <w:bCs/>
          <w:sz w:val="24"/>
          <w:szCs w:val="24"/>
        </w:rPr>
      </w:pPr>
      <w:r>
        <w:rPr>
          <w:rFonts w:ascii="Verdana" w:hAnsi="Verdana"/>
          <w:b/>
          <w:bCs/>
          <w:sz w:val="24"/>
          <w:szCs w:val="24"/>
        </w:rPr>
        <w:t>3.</w:t>
      </w:r>
      <w:r w:rsidR="00C42AE1">
        <w:rPr>
          <w:rFonts w:ascii="Verdana" w:hAnsi="Verdana"/>
          <w:b/>
          <w:bCs/>
          <w:sz w:val="24"/>
          <w:szCs w:val="24"/>
        </w:rPr>
        <w:t>Due risposte contrastanti</w:t>
      </w:r>
    </w:p>
    <w:p w:rsidR="00EA2B1A" w:rsidRDefault="00FB6397" w:rsidP="00DF47CB">
      <w:pPr>
        <w:spacing w:after="0" w:line="360" w:lineRule="auto"/>
        <w:ind w:firstLine="709"/>
        <w:jc w:val="both"/>
        <w:rPr>
          <w:rFonts w:ascii="Verdana" w:hAnsi="Verdana"/>
          <w:bCs/>
          <w:sz w:val="24"/>
          <w:szCs w:val="24"/>
        </w:rPr>
      </w:pPr>
      <w:r>
        <w:rPr>
          <w:rFonts w:ascii="Verdana" w:hAnsi="Verdana"/>
          <w:bCs/>
          <w:sz w:val="24"/>
          <w:szCs w:val="24"/>
        </w:rPr>
        <w:t xml:space="preserve">In questo a dir poco tormentato </w:t>
      </w:r>
      <w:r w:rsidR="006A4BC6">
        <w:rPr>
          <w:rFonts w:ascii="Verdana" w:hAnsi="Verdana"/>
          <w:bCs/>
          <w:sz w:val="24"/>
          <w:szCs w:val="24"/>
        </w:rPr>
        <w:t xml:space="preserve">quadro </w:t>
      </w:r>
      <w:r w:rsidR="00746EB6">
        <w:rPr>
          <w:rFonts w:ascii="Verdana" w:hAnsi="Verdana"/>
          <w:bCs/>
          <w:sz w:val="24"/>
          <w:szCs w:val="24"/>
        </w:rPr>
        <w:t xml:space="preserve">si inseriscono </w:t>
      </w:r>
      <w:r>
        <w:rPr>
          <w:rFonts w:ascii="Verdana" w:hAnsi="Verdana"/>
          <w:bCs/>
          <w:sz w:val="24"/>
          <w:szCs w:val="24"/>
        </w:rPr>
        <w:t>le due</w:t>
      </w:r>
      <w:r w:rsidR="00464787">
        <w:rPr>
          <w:rFonts w:ascii="Verdana" w:hAnsi="Verdana"/>
          <w:bCs/>
          <w:sz w:val="24"/>
          <w:szCs w:val="24"/>
        </w:rPr>
        <w:t xml:space="preserve"> sentenze in rassegna</w:t>
      </w:r>
      <w:r w:rsidR="006A4BC6">
        <w:rPr>
          <w:rFonts w:ascii="Verdana" w:hAnsi="Verdana"/>
          <w:bCs/>
          <w:sz w:val="24"/>
          <w:szCs w:val="24"/>
        </w:rPr>
        <w:t xml:space="preserve">, che mettono in scena un vero e proprio </w:t>
      </w:r>
      <w:r w:rsidR="006A4BC6" w:rsidRPr="006A4BC6">
        <w:rPr>
          <w:rFonts w:ascii="Verdana" w:hAnsi="Verdana"/>
          <w:bCs/>
          <w:i/>
          <w:sz w:val="24"/>
          <w:szCs w:val="24"/>
        </w:rPr>
        <w:t xml:space="preserve">coup de </w:t>
      </w:r>
      <w:proofErr w:type="spellStart"/>
      <w:r w:rsidR="006A4BC6" w:rsidRPr="006A4BC6">
        <w:rPr>
          <w:rFonts w:ascii="Verdana" w:hAnsi="Verdana"/>
          <w:bCs/>
          <w:i/>
          <w:sz w:val="24"/>
          <w:szCs w:val="24"/>
        </w:rPr>
        <w:t>theatre</w:t>
      </w:r>
      <w:proofErr w:type="spellEnd"/>
      <w:r w:rsidR="006A4BC6">
        <w:rPr>
          <w:rFonts w:ascii="Verdana" w:hAnsi="Verdana"/>
          <w:bCs/>
          <w:sz w:val="24"/>
          <w:szCs w:val="24"/>
        </w:rPr>
        <w:t xml:space="preserve">. Atto I Scena I: </w:t>
      </w:r>
      <w:r w:rsidR="00EA2B1A">
        <w:rPr>
          <w:rFonts w:ascii="Verdana" w:hAnsi="Verdana"/>
          <w:bCs/>
          <w:sz w:val="24"/>
          <w:szCs w:val="24"/>
        </w:rPr>
        <w:t xml:space="preserve">Corte di Cassazione, </w:t>
      </w:r>
      <w:r w:rsidR="00464787">
        <w:rPr>
          <w:rFonts w:ascii="Verdana" w:hAnsi="Verdana"/>
          <w:bCs/>
          <w:sz w:val="24"/>
          <w:szCs w:val="24"/>
        </w:rPr>
        <w:t xml:space="preserve">Sezione </w:t>
      </w:r>
      <w:r w:rsidR="00EA2B1A">
        <w:rPr>
          <w:rFonts w:ascii="Verdana" w:hAnsi="Verdana"/>
          <w:bCs/>
          <w:sz w:val="24"/>
          <w:szCs w:val="24"/>
        </w:rPr>
        <w:t>Prima</w:t>
      </w:r>
      <w:r w:rsidR="00464787">
        <w:rPr>
          <w:rFonts w:ascii="Verdana" w:hAnsi="Verdana"/>
          <w:bCs/>
          <w:sz w:val="24"/>
          <w:szCs w:val="24"/>
        </w:rPr>
        <w:t>, Udienza 11 giugno 2015, pres</w:t>
      </w:r>
      <w:r w:rsidR="00EA2B1A">
        <w:rPr>
          <w:rFonts w:ascii="Verdana" w:hAnsi="Verdana"/>
          <w:bCs/>
          <w:sz w:val="24"/>
          <w:szCs w:val="24"/>
        </w:rPr>
        <w:t>iede</w:t>
      </w:r>
      <w:r w:rsidR="00464787">
        <w:rPr>
          <w:rFonts w:ascii="Verdana" w:hAnsi="Verdana"/>
          <w:bCs/>
          <w:sz w:val="24"/>
          <w:szCs w:val="24"/>
        </w:rPr>
        <w:t xml:space="preserve"> Giordano, rel</w:t>
      </w:r>
      <w:r w:rsidR="00EA2B1A">
        <w:rPr>
          <w:rFonts w:ascii="Verdana" w:hAnsi="Verdana"/>
          <w:bCs/>
          <w:sz w:val="24"/>
          <w:szCs w:val="24"/>
        </w:rPr>
        <w:t>atore</w:t>
      </w:r>
      <w:r w:rsidR="00464787">
        <w:rPr>
          <w:rFonts w:ascii="Verdana" w:hAnsi="Verdana"/>
          <w:bCs/>
          <w:sz w:val="24"/>
          <w:szCs w:val="24"/>
        </w:rPr>
        <w:t xml:space="preserve"> </w:t>
      </w:r>
      <w:proofErr w:type="spellStart"/>
      <w:r w:rsidR="00464787">
        <w:rPr>
          <w:rFonts w:ascii="Verdana" w:hAnsi="Verdana"/>
          <w:bCs/>
          <w:sz w:val="24"/>
          <w:szCs w:val="24"/>
        </w:rPr>
        <w:t>Adet</w:t>
      </w:r>
      <w:proofErr w:type="spellEnd"/>
      <w:r w:rsidR="00464787">
        <w:rPr>
          <w:rFonts w:ascii="Verdana" w:hAnsi="Verdana"/>
          <w:bCs/>
          <w:sz w:val="24"/>
          <w:szCs w:val="24"/>
        </w:rPr>
        <w:t xml:space="preserve"> Toni </w:t>
      </w:r>
      <w:proofErr w:type="spellStart"/>
      <w:r w:rsidR="00464787">
        <w:rPr>
          <w:rFonts w:ascii="Verdana" w:hAnsi="Verdana"/>
          <w:bCs/>
          <w:sz w:val="24"/>
          <w:szCs w:val="24"/>
        </w:rPr>
        <w:t>Novik</w:t>
      </w:r>
      <w:proofErr w:type="spellEnd"/>
      <w:r w:rsidR="006A4BC6">
        <w:rPr>
          <w:rFonts w:ascii="Verdana" w:hAnsi="Verdana"/>
          <w:bCs/>
          <w:sz w:val="24"/>
          <w:szCs w:val="24"/>
        </w:rPr>
        <w:t>, sentenza n.43727/2015: il collegio</w:t>
      </w:r>
      <w:r w:rsidR="00464787">
        <w:rPr>
          <w:rFonts w:ascii="Verdana" w:hAnsi="Verdana"/>
          <w:bCs/>
          <w:sz w:val="24"/>
          <w:szCs w:val="24"/>
        </w:rPr>
        <w:t xml:space="preserve"> conferma la decisione del Magistrato di Sorveglianza che aveva ritenuto inammissibile l’istanza risarcitoria formulata dal detenuto </w:t>
      </w:r>
      <w:r w:rsidR="006A4BC6">
        <w:rPr>
          <w:rFonts w:ascii="Verdana" w:hAnsi="Verdana"/>
          <w:bCs/>
          <w:sz w:val="24"/>
          <w:szCs w:val="24"/>
        </w:rPr>
        <w:t>ai sensi dell’art.35-</w:t>
      </w:r>
      <w:r w:rsidR="006A4BC6" w:rsidRPr="00746EB6">
        <w:rPr>
          <w:rFonts w:ascii="Verdana" w:hAnsi="Verdana"/>
          <w:bCs/>
          <w:i/>
          <w:sz w:val="24"/>
          <w:szCs w:val="24"/>
        </w:rPr>
        <w:t>ter</w:t>
      </w:r>
      <w:r w:rsidR="006A4BC6">
        <w:rPr>
          <w:rFonts w:ascii="Verdana" w:hAnsi="Verdana"/>
          <w:bCs/>
          <w:sz w:val="24"/>
          <w:szCs w:val="24"/>
        </w:rPr>
        <w:t xml:space="preserve">, </w:t>
      </w:r>
      <w:proofErr w:type="spellStart"/>
      <w:r w:rsidR="006A4BC6">
        <w:rPr>
          <w:rFonts w:ascii="Verdana" w:hAnsi="Verdana"/>
          <w:bCs/>
          <w:sz w:val="24"/>
          <w:szCs w:val="24"/>
        </w:rPr>
        <w:t>ord</w:t>
      </w:r>
      <w:proofErr w:type="spellEnd"/>
      <w:r w:rsidR="006A4BC6">
        <w:rPr>
          <w:rFonts w:ascii="Verdana" w:hAnsi="Verdana"/>
          <w:bCs/>
          <w:sz w:val="24"/>
          <w:szCs w:val="24"/>
        </w:rPr>
        <w:t xml:space="preserve">. </w:t>
      </w:r>
      <w:proofErr w:type="spellStart"/>
      <w:proofErr w:type="gramStart"/>
      <w:r w:rsidR="006A4BC6">
        <w:rPr>
          <w:rFonts w:ascii="Verdana" w:hAnsi="Verdana"/>
          <w:bCs/>
          <w:sz w:val="24"/>
          <w:szCs w:val="24"/>
        </w:rPr>
        <w:t>penit</w:t>
      </w:r>
      <w:proofErr w:type="spellEnd"/>
      <w:r w:rsidR="006A4BC6">
        <w:rPr>
          <w:rFonts w:ascii="Verdana" w:hAnsi="Verdana"/>
          <w:bCs/>
          <w:sz w:val="24"/>
          <w:szCs w:val="24"/>
        </w:rPr>
        <w:t>.,</w:t>
      </w:r>
      <w:proofErr w:type="gramEnd"/>
      <w:r w:rsidR="006A4BC6">
        <w:rPr>
          <w:rFonts w:ascii="Verdana" w:hAnsi="Verdana"/>
          <w:bCs/>
          <w:sz w:val="24"/>
          <w:szCs w:val="24"/>
        </w:rPr>
        <w:t xml:space="preserve"> per la carenza del requisito dell’ “attualità” del pregiudizio. Con una pronuncia dalle secche cadenze tacitiane, la Suprema Corte statuisce, infatti, che &lt;&lt;</w:t>
      </w:r>
      <w:r w:rsidR="006A4BC6" w:rsidRPr="006A4BC6">
        <w:rPr>
          <w:rFonts w:ascii="Verdana" w:hAnsi="Verdana"/>
          <w:bCs/>
          <w:sz w:val="24"/>
          <w:szCs w:val="24"/>
        </w:rPr>
        <w:t>3. Il primo requisito per poter richiedere la riduzione della pena è che in</w:t>
      </w:r>
      <w:r w:rsidR="006A4BC6">
        <w:rPr>
          <w:rFonts w:ascii="Verdana" w:hAnsi="Verdana"/>
          <w:bCs/>
          <w:sz w:val="24"/>
          <w:szCs w:val="24"/>
        </w:rPr>
        <w:t xml:space="preserve"> </w:t>
      </w:r>
      <w:r w:rsidR="006A4BC6" w:rsidRPr="006A4BC6">
        <w:rPr>
          <w:rFonts w:ascii="Verdana" w:hAnsi="Verdana"/>
          <w:bCs/>
          <w:sz w:val="24"/>
          <w:szCs w:val="24"/>
        </w:rPr>
        <w:t>capo al detenuto sia configurabile una situazione di "attuale e grave pregiudizio</w:t>
      </w:r>
      <w:r w:rsidR="006A4BC6">
        <w:rPr>
          <w:rFonts w:ascii="Verdana" w:hAnsi="Verdana"/>
          <w:bCs/>
          <w:sz w:val="24"/>
          <w:szCs w:val="24"/>
        </w:rPr>
        <w:t xml:space="preserve"> </w:t>
      </w:r>
      <w:r w:rsidR="006A4BC6" w:rsidRPr="006A4BC6">
        <w:rPr>
          <w:rFonts w:ascii="Verdana" w:hAnsi="Verdana"/>
          <w:bCs/>
          <w:sz w:val="24"/>
          <w:szCs w:val="24"/>
        </w:rPr>
        <w:t>all'esercizio dei diritti"</w:t>
      </w:r>
      <w:r w:rsidR="006A4BC6">
        <w:rPr>
          <w:rFonts w:ascii="Verdana" w:hAnsi="Verdana"/>
          <w:bCs/>
          <w:sz w:val="24"/>
          <w:szCs w:val="24"/>
        </w:rPr>
        <w:t xml:space="preserve">&gt;&gt;. Ne consegue </w:t>
      </w:r>
      <w:r w:rsidR="009C37CB">
        <w:rPr>
          <w:rFonts w:ascii="Verdana" w:hAnsi="Verdana"/>
          <w:bCs/>
          <w:sz w:val="24"/>
          <w:szCs w:val="24"/>
        </w:rPr>
        <w:t xml:space="preserve">pertanto </w:t>
      </w:r>
      <w:r w:rsidR="006A4BC6">
        <w:rPr>
          <w:rFonts w:ascii="Verdana" w:hAnsi="Verdana"/>
          <w:bCs/>
          <w:sz w:val="24"/>
          <w:szCs w:val="24"/>
        </w:rPr>
        <w:t>che: &lt;&lt;</w:t>
      </w:r>
      <w:r w:rsidR="006A4BC6" w:rsidRPr="006A4BC6">
        <w:rPr>
          <w:rFonts w:ascii="Verdana" w:hAnsi="Verdana"/>
          <w:bCs/>
          <w:sz w:val="24"/>
          <w:szCs w:val="24"/>
        </w:rPr>
        <w:t xml:space="preserve">5. Attesa la mancanza nell'istanza di indicazioni essenziali per valutare l'attualità del pregiudizio, la sua inerenza alla detenzione in corso e le condizioni di fatto in cui si è svolta la detenzione, correttamente il magistrato di sorveglianza l'ha dichiarata </w:t>
      </w:r>
      <w:r w:rsidR="006A4BC6" w:rsidRPr="006A4BC6">
        <w:rPr>
          <w:rFonts w:ascii="Verdana" w:hAnsi="Verdana"/>
          <w:bCs/>
          <w:sz w:val="24"/>
          <w:szCs w:val="24"/>
        </w:rPr>
        <w:lastRenderedPageBreak/>
        <w:t>inammissibile.&gt;&gt;</w:t>
      </w:r>
      <w:r w:rsidR="006A4BC6">
        <w:rPr>
          <w:rFonts w:ascii="Verdana" w:hAnsi="Verdana"/>
          <w:bCs/>
          <w:sz w:val="24"/>
          <w:szCs w:val="24"/>
        </w:rPr>
        <w:t xml:space="preserve"> </w:t>
      </w:r>
      <w:r w:rsidR="006A4BC6" w:rsidRPr="006A4BC6">
        <w:rPr>
          <w:rFonts w:ascii="Verdana" w:hAnsi="Verdana"/>
          <w:bCs/>
          <w:i/>
          <w:sz w:val="24"/>
          <w:szCs w:val="24"/>
        </w:rPr>
        <w:t xml:space="preserve">Roma </w:t>
      </w:r>
      <w:proofErr w:type="spellStart"/>
      <w:r w:rsidR="006A4BC6" w:rsidRPr="006A4BC6">
        <w:rPr>
          <w:rFonts w:ascii="Verdana" w:hAnsi="Verdana"/>
          <w:bCs/>
          <w:i/>
          <w:sz w:val="24"/>
          <w:szCs w:val="24"/>
        </w:rPr>
        <w:t>locuta</w:t>
      </w:r>
      <w:proofErr w:type="spellEnd"/>
      <w:r w:rsidR="006A4BC6" w:rsidRPr="006A4BC6">
        <w:rPr>
          <w:rFonts w:ascii="Verdana" w:hAnsi="Verdana"/>
          <w:bCs/>
          <w:i/>
          <w:sz w:val="24"/>
          <w:szCs w:val="24"/>
        </w:rPr>
        <w:t>, causa finita</w:t>
      </w:r>
      <w:r w:rsidR="006A4BC6">
        <w:rPr>
          <w:rFonts w:ascii="Verdana" w:hAnsi="Verdana"/>
          <w:bCs/>
          <w:i/>
          <w:sz w:val="24"/>
          <w:szCs w:val="24"/>
        </w:rPr>
        <w:t xml:space="preserve">, </w:t>
      </w:r>
      <w:r w:rsidR="008124A7">
        <w:rPr>
          <w:rFonts w:ascii="Verdana" w:hAnsi="Verdana"/>
          <w:bCs/>
          <w:sz w:val="24"/>
          <w:szCs w:val="24"/>
        </w:rPr>
        <w:t xml:space="preserve">dunque, </w:t>
      </w:r>
      <w:r w:rsidR="006A4BC6">
        <w:rPr>
          <w:rFonts w:ascii="Verdana" w:hAnsi="Verdana"/>
          <w:bCs/>
          <w:sz w:val="24"/>
          <w:szCs w:val="24"/>
        </w:rPr>
        <w:t>con il trionfo della tesi “attualista”. Non proprio.</w:t>
      </w:r>
      <w:r w:rsidR="006A4BC6" w:rsidRPr="006A4BC6">
        <w:rPr>
          <w:rFonts w:ascii="Verdana" w:hAnsi="Verdana"/>
          <w:bCs/>
          <w:sz w:val="24"/>
          <w:szCs w:val="24"/>
        </w:rPr>
        <w:t xml:space="preserve"> </w:t>
      </w:r>
      <w:r w:rsidR="006A4BC6">
        <w:rPr>
          <w:rFonts w:ascii="Verdana" w:hAnsi="Verdana"/>
          <w:bCs/>
          <w:sz w:val="24"/>
          <w:szCs w:val="24"/>
        </w:rPr>
        <w:t xml:space="preserve">Atto I Scena II: </w:t>
      </w:r>
      <w:r w:rsidR="00EA2B1A">
        <w:rPr>
          <w:rFonts w:ascii="Verdana" w:hAnsi="Verdana"/>
          <w:bCs/>
          <w:sz w:val="24"/>
          <w:szCs w:val="24"/>
        </w:rPr>
        <w:t xml:space="preserve">Corte di Cassazione, </w:t>
      </w:r>
      <w:r w:rsidR="006A4BC6">
        <w:rPr>
          <w:rFonts w:ascii="Verdana" w:hAnsi="Verdana"/>
          <w:bCs/>
          <w:sz w:val="24"/>
          <w:szCs w:val="24"/>
        </w:rPr>
        <w:t xml:space="preserve">Sezione </w:t>
      </w:r>
      <w:r w:rsidR="00EA2B1A">
        <w:rPr>
          <w:rFonts w:ascii="Verdana" w:hAnsi="Verdana"/>
          <w:bCs/>
          <w:sz w:val="24"/>
          <w:szCs w:val="24"/>
        </w:rPr>
        <w:t>Prima</w:t>
      </w:r>
      <w:r w:rsidR="006A4BC6">
        <w:rPr>
          <w:rFonts w:ascii="Verdana" w:hAnsi="Verdana"/>
          <w:bCs/>
          <w:sz w:val="24"/>
          <w:szCs w:val="24"/>
        </w:rPr>
        <w:t>, Udienza</w:t>
      </w:r>
      <w:r w:rsidR="00A4631D">
        <w:rPr>
          <w:rFonts w:ascii="Verdana" w:hAnsi="Verdana"/>
          <w:bCs/>
          <w:sz w:val="24"/>
          <w:szCs w:val="24"/>
        </w:rPr>
        <w:t xml:space="preserve"> 11 giugno 2015</w:t>
      </w:r>
      <w:r w:rsidR="006A4BC6">
        <w:rPr>
          <w:rFonts w:ascii="Verdana" w:hAnsi="Verdana"/>
          <w:bCs/>
          <w:sz w:val="24"/>
          <w:szCs w:val="24"/>
        </w:rPr>
        <w:t>, pres</w:t>
      </w:r>
      <w:r w:rsidR="00EA2B1A">
        <w:rPr>
          <w:rFonts w:ascii="Verdana" w:hAnsi="Verdana"/>
          <w:bCs/>
          <w:sz w:val="24"/>
          <w:szCs w:val="24"/>
        </w:rPr>
        <w:t>iede</w:t>
      </w:r>
      <w:r w:rsidR="006A4BC6">
        <w:rPr>
          <w:rFonts w:ascii="Verdana" w:hAnsi="Verdana"/>
          <w:bCs/>
          <w:sz w:val="24"/>
          <w:szCs w:val="24"/>
        </w:rPr>
        <w:t xml:space="preserve"> Giordano, rel</w:t>
      </w:r>
      <w:r w:rsidR="00EA2B1A">
        <w:rPr>
          <w:rFonts w:ascii="Verdana" w:hAnsi="Verdana"/>
          <w:bCs/>
          <w:sz w:val="24"/>
          <w:szCs w:val="24"/>
        </w:rPr>
        <w:t>atore</w:t>
      </w:r>
      <w:r w:rsidR="006A4BC6">
        <w:rPr>
          <w:rFonts w:ascii="Verdana" w:hAnsi="Verdana"/>
          <w:bCs/>
          <w:sz w:val="24"/>
          <w:szCs w:val="24"/>
        </w:rPr>
        <w:t xml:space="preserve"> Magi, sentenza n.4372</w:t>
      </w:r>
      <w:r w:rsidR="00A4631D">
        <w:rPr>
          <w:rFonts w:ascii="Verdana" w:hAnsi="Verdana"/>
          <w:bCs/>
          <w:sz w:val="24"/>
          <w:szCs w:val="24"/>
        </w:rPr>
        <w:t>2</w:t>
      </w:r>
      <w:r w:rsidR="006A4BC6">
        <w:rPr>
          <w:rFonts w:ascii="Verdana" w:hAnsi="Verdana"/>
          <w:bCs/>
          <w:sz w:val="24"/>
          <w:szCs w:val="24"/>
        </w:rPr>
        <w:t>/2015</w:t>
      </w:r>
      <w:r w:rsidR="00FD7CB6">
        <w:rPr>
          <w:rFonts w:ascii="Verdana" w:hAnsi="Verdana"/>
          <w:bCs/>
          <w:sz w:val="24"/>
          <w:szCs w:val="24"/>
        </w:rPr>
        <w:t xml:space="preserve">: </w:t>
      </w:r>
      <w:r w:rsidR="00746EB6">
        <w:rPr>
          <w:rFonts w:ascii="Verdana" w:hAnsi="Verdana"/>
          <w:bCs/>
          <w:sz w:val="24"/>
          <w:szCs w:val="24"/>
        </w:rPr>
        <w:t xml:space="preserve">il collegio </w:t>
      </w:r>
      <w:r w:rsidR="00A4631D">
        <w:rPr>
          <w:rFonts w:ascii="Verdana" w:hAnsi="Verdana"/>
          <w:bCs/>
          <w:sz w:val="24"/>
          <w:szCs w:val="24"/>
        </w:rPr>
        <w:t>ritiene non condivisibile l’interpretazione che vede nel requisito dell</w:t>
      </w:r>
      <w:proofErr w:type="gramStart"/>
      <w:r w:rsidR="00A4631D">
        <w:rPr>
          <w:rFonts w:ascii="Verdana" w:hAnsi="Verdana"/>
          <w:bCs/>
          <w:sz w:val="24"/>
          <w:szCs w:val="24"/>
        </w:rPr>
        <w:t>’“</w:t>
      </w:r>
      <w:proofErr w:type="gramEnd"/>
      <w:r w:rsidR="00A4631D">
        <w:rPr>
          <w:rFonts w:ascii="Verdana" w:hAnsi="Verdana"/>
          <w:bCs/>
          <w:sz w:val="24"/>
          <w:szCs w:val="24"/>
        </w:rPr>
        <w:t>attualità” del pregiudizio un presupposto rilevante ai fini dell’ammissibilità dell’azione risarcitoria ai sensi dell’evocato art.35-</w:t>
      </w:r>
      <w:r w:rsidR="00A4631D" w:rsidRPr="008124A7">
        <w:rPr>
          <w:rFonts w:ascii="Verdana" w:hAnsi="Verdana"/>
          <w:bCs/>
          <w:i/>
          <w:sz w:val="24"/>
          <w:szCs w:val="24"/>
        </w:rPr>
        <w:t>ter</w:t>
      </w:r>
      <w:r w:rsidR="00A4631D">
        <w:rPr>
          <w:rFonts w:ascii="Verdana" w:hAnsi="Verdana"/>
          <w:bCs/>
          <w:sz w:val="24"/>
          <w:szCs w:val="24"/>
        </w:rPr>
        <w:t xml:space="preserve">, </w:t>
      </w:r>
      <w:proofErr w:type="spellStart"/>
      <w:r w:rsidR="00A4631D">
        <w:rPr>
          <w:rFonts w:ascii="Verdana" w:hAnsi="Verdana"/>
          <w:bCs/>
          <w:sz w:val="24"/>
          <w:szCs w:val="24"/>
        </w:rPr>
        <w:t>ord</w:t>
      </w:r>
      <w:proofErr w:type="spellEnd"/>
      <w:r w:rsidR="00A4631D">
        <w:rPr>
          <w:rFonts w:ascii="Verdana" w:hAnsi="Verdana"/>
          <w:bCs/>
          <w:sz w:val="24"/>
          <w:szCs w:val="24"/>
        </w:rPr>
        <w:t xml:space="preserve">. </w:t>
      </w:r>
      <w:proofErr w:type="spellStart"/>
      <w:proofErr w:type="gramStart"/>
      <w:r w:rsidR="00A4631D">
        <w:rPr>
          <w:rFonts w:ascii="Verdana" w:hAnsi="Verdana"/>
          <w:bCs/>
          <w:sz w:val="24"/>
          <w:szCs w:val="24"/>
        </w:rPr>
        <w:t>penit</w:t>
      </w:r>
      <w:proofErr w:type="spellEnd"/>
      <w:proofErr w:type="gramEnd"/>
      <w:r w:rsidR="00A4631D">
        <w:rPr>
          <w:rFonts w:ascii="Verdana" w:hAnsi="Verdana"/>
          <w:bCs/>
          <w:sz w:val="24"/>
          <w:szCs w:val="24"/>
        </w:rPr>
        <w:t>.</w:t>
      </w:r>
      <w:r w:rsidR="006A4BC6">
        <w:rPr>
          <w:rFonts w:ascii="Verdana" w:hAnsi="Verdana"/>
          <w:bCs/>
          <w:sz w:val="24"/>
          <w:szCs w:val="24"/>
        </w:rPr>
        <w:t xml:space="preserve"> </w:t>
      </w:r>
      <w:r w:rsidR="00FD7CB6">
        <w:rPr>
          <w:rFonts w:ascii="Verdana" w:hAnsi="Verdana"/>
          <w:bCs/>
          <w:sz w:val="24"/>
          <w:szCs w:val="24"/>
        </w:rPr>
        <w:t xml:space="preserve">La Prima Sezione </w:t>
      </w:r>
      <w:r w:rsidR="00EA2B1A">
        <w:rPr>
          <w:rFonts w:ascii="Verdana" w:hAnsi="Verdana"/>
          <w:bCs/>
          <w:sz w:val="24"/>
          <w:szCs w:val="24"/>
        </w:rPr>
        <w:t xml:space="preserve">in </w:t>
      </w:r>
      <w:r w:rsidR="00FD7CB6">
        <w:rPr>
          <w:rFonts w:ascii="Verdana" w:hAnsi="Verdana"/>
          <w:bCs/>
          <w:sz w:val="24"/>
          <w:szCs w:val="24"/>
        </w:rPr>
        <w:t>diversa compos</w:t>
      </w:r>
      <w:r w:rsidR="00EA2B1A">
        <w:rPr>
          <w:rFonts w:ascii="Verdana" w:hAnsi="Verdana"/>
          <w:bCs/>
          <w:sz w:val="24"/>
          <w:szCs w:val="24"/>
        </w:rPr>
        <w:t>izione</w:t>
      </w:r>
      <w:r w:rsidR="00FD7CB6">
        <w:rPr>
          <w:rFonts w:ascii="Verdana" w:hAnsi="Verdana"/>
          <w:bCs/>
          <w:sz w:val="24"/>
          <w:szCs w:val="24"/>
        </w:rPr>
        <w:t xml:space="preserve"> </w:t>
      </w:r>
      <w:r w:rsidR="008124A7">
        <w:rPr>
          <w:rFonts w:ascii="Verdana" w:hAnsi="Verdana"/>
          <w:bCs/>
          <w:sz w:val="24"/>
          <w:szCs w:val="24"/>
        </w:rPr>
        <w:t xml:space="preserve">configura, infatti, il “rimedio compensativo” </w:t>
      </w:r>
      <w:r w:rsidR="00EA2B1A">
        <w:rPr>
          <w:rFonts w:ascii="Verdana" w:hAnsi="Verdana"/>
          <w:bCs/>
          <w:sz w:val="24"/>
          <w:szCs w:val="24"/>
        </w:rPr>
        <w:t xml:space="preserve">quale </w:t>
      </w:r>
      <w:r w:rsidR="008124A7">
        <w:rPr>
          <w:rFonts w:ascii="Verdana" w:hAnsi="Verdana"/>
          <w:bCs/>
          <w:sz w:val="24"/>
          <w:szCs w:val="24"/>
        </w:rPr>
        <w:t xml:space="preserve">istituto speciale, che offre una tutela </w:t>
      </w:r>
      <w:r w:rsidR="008124A7" w:rsidRPr="008124A7">
        <w:rPr>
          <w:rFonts w:ascii="Verdana" w:hAnsi="Verdana"/>
          <w:bCs/>
          <w:sz w:val="24"/>
          <w:szCs w:val="24"/>
        </w:rPr>
        <w:t>«particolar</w:t>
      </w:r>
      <w:r w:rsidR="008124A7">
        <w:rPr>
          <w:rFonts w:ascii="Verdana" w:hAnsi="Verdana"/>
          <w:bCs/>
          <w:sz w:val="24"/>
          <w:szCs w:val="24"/>
        </w:rPr>
        <w:t>e» e ulteriore rispetto a quella assicurata dal rimedio “preventivo” introdotto dall’art.35-</w:t>
      </w:r>
      <w:r w:rsidR="008124A7" w:rsidRPr="008124A7">
        <w:rPr>
          <w:rFonts w:ascii="Verdana" w:hAnsi="Verdana"/>
          <w:bCs/>
          <w:i/>
          <w:sz w:val="24"/>
          <w:szCs w:val="24"/>
        </w:rPr>
        <w:t>bis</w:t>
      </w:r>
      <w:r w:rsidR="008124A7">
        <w:rPr>
          <w:rFonts w:ascii="Verdana" w:hAnsi="Verdana"/>
          <w:bCs/>
          <w:sz w:val="24"/>
          <w:szCs w:val="24"/>
        </w:rPr>
        <w:t xml:space="preserve">, </w:t>
      </w:r>
      <w:proofErr w:type="spellStart"/>
      <w:r w:rsidR="008124A7">
        <w:rPr>
          <w:rFonts w:ascii="Verdana" w:hAnsi="Verdana"/>
          <w:bCs/>
          <w:sz w:val="24"/>
          <w:szCs w:val="24"/>
        </w:rPr>
        <w:t>ord</w:t>
      </w:r>
      <w:proofErr w:type="spellEnd"/>
      <w:r w:rsidR="008124A7">
        <w:rPr>
          <w:rFonts w:ascii="Verdana" w:hAnsi="Verdana"/>
          <w:bCs/>
          <w:sz w:val="24"/>
          <w:szCs w:val="24"/>
        </w:rPr>
        <w:t xml:space="preserve">. </w:t>
      </w:r>
      <w:proofErr w:type="spellStart"/>
      <w:proofErr w:type="gramStart"/>
      <w:r w:rsidR="008124A7">
        <w:rPr>
          <w:rFonts w:ascii="Verdana" w:hAnsi="Verdana"/>
          <w:bCs/>
          <w:sz w:val="24"/>
          <w:szCs w:val="24"/>
        </w:rPr>
        <w:t>penit</w:t>
      </w:r>
      <w:proofErr w:type="spellEnd"/>
      <w:proofErr w:type="gramEnd"/>
      <w:r w:rsidR="008124A7">
        <w:rPr>
          <w:rFonts w:ascii="Verdana" w:hAnsi="Verdana"/>
          <w:bCs/>
          <w:sz w:val="24"/>
          <w:szCs w:val="24"/>
        </w:rPr>
        <w:t xml:space="preserve">. </w:t>
      </w:r>
      <w:r w:rsidR="00EA2B1A">
        <w:rPr>
          <w:rFonts w:ascii="Verdana" w:hAnsi="Verdana"/>
          <w:bCs/>
          <w:sz w:val="24"/>
          <w:szCs w:val="24"/>
        </w:rPr>
        <w:t>(</w:t>
      </w:r>
      <w:proofErr w:type="gramStart"/>
      <w:r w:rsidR="00EA2B1A">
        <w:rPr>
          <w:rFonts w:ascii="Verdana" w:hAnsi="Verdana"/>
          <w:bCs/>
          <w:sz w:val="24"/>
          <w:szCs w:val="24"/>
        </w:rPr>
        <w:t>c</w:t>
      </w:r>
      <w:r w:rsidR="008124A7">
        <w:rPr>
          <w:rFonts w:ascii="Verdana" w:hAnsi="Verdana"/>
          <w:bCs/>
          <w:sz w:val="24"/>
          <w:szCs w:val="24"/>
        </w:rPr>
        <w:t>he</w:t>
      </w:r>
      <w:proofErr w:type="gramEnd"/>
      <w:r w:rsidR="008124A7">
        <w:rPr>
          <w:rFonts w:ascii="Verdana" w:hAnsi="Verdana"/>
          <w:bCs/>
          <w:sz w:val="24"/>
          <w:szCs w:val="24"/>
        </w:rPr>
        <w:t xml:space="preserve"> </w:t>
      </w:r>
      <w:r w:rsidR="00FD7CB6">
        <w:rPr>
          <w:rFonts w:ascii="Verdana" w:hAnsi="Verdana"/>
          <w:bCs/>
          <w:sz w:val="24"/>
          <w:szCs w:val="24"/>
        </w:rPr>
        <w:t xml:space="preserve">consente </w:t>
      </w:r>
      <w:r w:rsidR="008124A7">
        <w:rPr>
          <w:rFonts w:ascii="Verdana" w:hAnsi="Verdana"/>
          <w:bCs/>
          <w:sz w:val="24"/>
          <w:szCs w:val="24"/>
        </w:rPr>
        <w:t xml:space="preserve">una pronuncia </w:t>
      </w:r>
      <w:r w:rsidR="00FD7CB6">
        <w:rPr>
          <w:rFonts w:ascii="Verdana" w:hAnsi="Verdana"/>
          <w:bCs/>
          <w:sz w:val="24"/>
          <w:szCs w:val="24"/>
        </w:rPr>
        <w:t xml:space="preserve">inibitoria del protrarsi della </w:t>
      </w:r>
      <w:r w:rsidR="008124A7">
        <w:rPr>
          <w:rFonts w:ascii="Verdana" w:hAnsi="Verdana"/>
          <w:bCs/>
          <w:sz w:val="24"/>
          <w:szCs w:val="24"/>
        </w:rPr>
        <w:t xml:space="preserve">violazione </w:t>
      </w:r>
      <w:r w:rsidR="00FD7CB6">
        <w:rPr>
          <w:rFonts w:ascii="Verdana" w:hAnsi="Verdana"/>
          <w:bCs/>
          <w:sz w:val="24"/>
          <w:szCs w:val="24"/>
        </w:rPr>
        <w:t>de</w:t>
      </w:r>
      <w:r w:rsidR="008124A7">
        <w:rPr>
          <w:rFonts w:ascii="Verdana" w:hAnsi="Verdana"/>
          <w:bCs/>
          <w:sz w:val="24"/>
          <w:szCs w:val="24"/>
        </w:rPr>
        <w:t>l</w:t>
      </w:r>
      <w:r w:rsidR="00FD7CB6">
        <w:rPr>
          <w:rFonts w:ascii="Verdana" w:hAnsi="Verdana"/>
          <w:bCs/>
          <w:sz w:val="24"/>
          <w:szCs w:val="24"/>
        </w:rPr>
        <w:t>la posizione giuridica</w:t>
      </w:r>
      <w:r w:rsidR="008124A7">
        <w:rPr>
          <w:rFonts w:ascii="Verdana" w:hAnsi="Verdana"/>
          <w:bCs/>
          <w:sz w:val="24"/>
          <w:szCs w:val="24"/>
        </w:rPr>
        <w:t xml:space="preserve"> </w:t>
      </w:r>
      <w:r w:rsidR="00FD7CB6">
        <w:rPr>
          <w:rFonts w:ascii="Verdana" w:hAnsi="Verdana"/>
          <w:bCs/>
          <w:sz w:val="24"/>
          <w:szCs w:val="24"/>
        </w:rPr>
        <w:t xml:space="preserve">di cui il </w:t>
      </w:r>
      <w:r w:rsidR="008124A7">
        <w:rPr>
          <w:rFonts w:ascii="Verdana" w:hAnsi="Verdana"/>
          <w:bCs/>
          <w:sz w:val="24"/>
          <w:szCs w:val="24"/>
        </w:rPr>
        <w:t xml:space="preserve"> soggetto detenuto</w:t>
      </w:r>
      <w:r w:rsidR="00FD7CB6">
        <w:rPr>
          <w:rFonts w:ascii="Verdana" w:hAnsi="Verdana"/>
          <w:bCs/>
          <w:sz w:val="24"/>
          <w:szCs w:val="24"/>
        </w:rPr>
        <w:t xml:space="preserve"> è titolare</w:t>
      </w:r>
      <w:r w:rsidR="00EA2B1A">
        <w:rPr>
          <w:rFonts w:ascii="Verdana" w:hAnsi="Verdana"/>
          <w:bCs/>
          <w:sz w:val="24"/>
          <w:szCs w:val="24"/>
        </w:rPr>
        <w:t>)</w:t>
      </w:r>
      <w:r w:rsidR="008124A7">
        <w:rPr>
          <w:rFonts w:ascii="Verdana" w:hAnsi="Verdana"/>
          <w:bCs/>
          <w:sz w:val="24"/>
          <w:szCs w:val="24"/>
        </w:rPr>
        <w:t xml:space="preserve">. </w:t>
      </w:r>
    </w:p>
    <w:p w:rsidR="00FD7CB6" w:rsidRDefault="00D20DC3" w:rsidP="00EA2B1A">
      <w:pPr>
        <w:spacing w:after="0" w:line="360" w:lineRule="auto"/>
        <w:ind w:firstLine="708"/>
        <w:jc w:val="both"/>
        <w:rPr>
          <w:rFonts w:ascii="Verdana" w:hAnsi="Verdana"/>
          <w:bCs/>
          <w:sz w:val="24"/>
          <w:szCs w:val="24"/>
        </w:rPr>
      </w:pPr>
      <w:r>
        <w:rPr>
          <w:rFonts w:ascii="Verdana" w:hAnsi="Verdana"/>
          <w:bCs/>
          <w:sz w:val="24"/>
          <w:szCs w:val="24"/>
        </w:rPr>
        <w:t>Tale ravvisato carattere di “</w:t>
      </w:r>
      <w:r w:rsidR="008124A7" w:rsidRPr="00D20DC3">
        <w:rPr>
          <w:rFonts w:ascii="Verdana" w:hAnsi="Verdana"/>
          <w:bCs/>
          <w:iCs/>
          <w:sz w:val="24"/>
          <w:szCs w:val="24"/>
        </w:rPr>
        <w:t>specialità</w:t>
      </w:r>
      <w:r>
        <w:rPr>
          <w:rFonts w:ascii="Verdana" w:hAnsi="Verdana"/>
          <w:bCs/>
          <w:iCs/>
          <w:sz w:val="24"/>
          <w:szCs w:val="24"/>
        </w:rPr>
        <w:t>”</w:t>
      </w:r>
      <w:r w:rsidR="008124A7" w:rsidRPr="008124A7">
        <w:rPr>
          <w:rFonts w:ascii="Verdana" w:hAnsi="Verdana"/>
          <w:bCs/>
          <w:i/>
          <w:iCs/>
          <w:sz w:val="24"/>
          <w:szCs w:val="24"/>
        </w:rPr>
        <w:t xml:space="preserve"> </w:t>
      </w:r>
      <w:r w:rsidR="008124A7" w:rsidRPr="008124A7">
        <w:rPr>
          <w:rFonts w:ascii="Verdana" w:hAnsi="Verdana"/>
          <w:bCs/>
          <w:sz w:val="24"/>
          <w:szCs w:val="24"/>
        </w:rPr>
        <w:t>del ri</w:t>
      </w:r>
      <w:r w:rsidR="00EA2B1A">
        <w:rPr>
          <w:rFonts w:ascii="Verdana" w:hAnsi="Verdana"/>
          <w:bCs/>
          <w:sz w:val="24"/>
          <w:szCs w:val="24"/>
        </w:rPr>
        <w:t>corso risarcitorio</w:t>
      </w:r>
      <w:r w:rsidR="008124A7" w:rsidRPr="008124A7">
        <w:rPr>
          <w:rFonts w:ascii="Verdana" w:hAnsi="Verdana"/>
          <w:bCs/>
          <w:sz w:val="24"/>
          <w:szCs w:val="24"/>
        </w:rPr>
        <w:t xml:space="preserve"> </w:t>
      </w:r>
      <w:r w:rsidR="00FD7CB6">
        <w:rPr>
          <w:rFonts w:ascii="Verdana" w:hAnsi="Verdana"/>
          <w:bCs/>
          <w:sz w:val="24"/>
          <w:szCs w:val="24"/>
        </w:rPr>
        <w:t xml:space="preserve">non impedisce </w:t>
      </w:r>
      <w:r w:rsidR="00EA2B1A">
        <w:rPr>
          <w:rFonts w:ascii="Verdana" w:hAnsi="Verdana"/>
          <w:bCs/>
          <w:sz w:val="24"/>
          <w:szCs w:val="24"/>
        </w:rPr>
        <w:t xml:space="preserve">quindi – chiosa la seconda pronuncia - </w:t>
      </w:r>
      <w:r>
        <w:rPr>
          <w:rFonts w:ascii="Verdana" w:hAnsi="Verdana"/>
          <w:bCs/>
          <w:sz w:val="24"/>
          <w:szCs w:val="24"/>
        </w:rPr>
        <w:t xml:space="preserve">che, nei casi in cui la </w:t>
      </w:r>
      <w:r w:rsidR="00FD7CB6">
        <w:rPr>
          <w:rFonts w:ascii="Verdana" w:hAnsi="Verdana"/>
          <w:bCs/>
          <w:sz w:val="24"/>
          <w:szCs w:val="24"/>
        </w:rPr>
        <w:t xml:space="preserve">detta </w:t>
      </w:r>
      <w:r>
        <w:rPr>
          <w:rFonts w:ascii="Verdana" w:hAnsi="Verdana"/>
          <w:bCs/>
          <w:sz w:val="24"/>
          <w:szCs w:val="24"/>
        </w:rPr>
        <w:t xml:space="preserve">violazione sia ancora </w:t>
      </w:r>
      <w:r w:rsidR="00FD7CB6">
        <w:rPr>
          <w:rFonts w:ascii="Verdana" w:hAnsi="Verdana"/>
          <w:bCs/>
          <w:sz w:val="24"/>
          <w:szCs w:val="24"/>
        </w:rPr>
        <w:t>sussistente</w:t>
      </w:r>
      <w:r>
        <w:rPr>
          <w:rFonts w:ascii="Verdana" w:hAnsi="Verdana"/>
          <w:bCs/>
          <w:sz w:val="24"/>
          <w:szCs w:val="24"/>
        </w:rPr>
        <w:t xml:space="preserve"> al momento della decisione, il giudice adito </w:t>
      </w:r>
      <w:r w:rsidR="00FD7CB6">
        <w:rPr>
          <w:rFonts w:ascii="Verdana" w:hAnsi="Verdana"/>
          <w:bCs/>
          <w:sz w:val="24"/>
          <w:szCs w:val="24"/>
        </w:rPr>
        <w:t>vieti</w:t>
      </w:r>
      <w:r>
        <w:rPr>
          <w:rFonts w:ascii="Verdana" w:hAnsi="Verdana"/>
          <w:bCs/>
          <w:sz w:val="24"/>
          <w:szCs w:val="24"/>
        </w:rPr>
        <w:t xml:space="preserve"> la protrazione della condotta illegittima, </w:t>
      </w:r>
      <w:r w:rsidR="00FD7CB6">
        <w:rPr>
          <w:rFonts w:ascii="Verdana" w:hAnsi="Verdana"/>
          <w:bCs/>
          <w:sz w:val="24"/>
          <w:szCs w:val="24"/>
        </w:rPr>
        <w:t xml:space="preserve">e </w:t>
      </w:r>
      <w:r>
        <w:rPr>
          <w:rFonts w:ascii="Verdana" w:hAnsi="Verdana"/>
          <w:bCs/>
          <w:sz w:val="24"/>
          <w:szCs w:val="24"/>
        </w:rPr>
        <w:t>contestualmente sia accordata la ulteriore tutela di matrice risarcitoria. Ma &lt;&lt; è evidente&gt;&gt; prosegue la Corte che nel caso di</w:t>
      </w:r>
      <w:r w:rsidR="00CF03DD">
        <w:rPr>
          <w:rFonts w:ascii="Verdana" w:hAnsi="Verdana"/>
          <w:bCs/>
          <w:sz w:val="24"/>
          <w:szCs w:val="24"/>
        </w:rPr>
        <w:t xml:space="preserve"> pregiudizio effettivamente subì</w:t>
      </w:r>
      <w:r>
        <w:rPr>
          <w:rFonts w:ascii="Verdana" w:hAnsi="Verdana"/>
          <w:bCs/>
          <w:sz w:val="24"/>
          <w:szCs w:val="24"/>
        </w:rPr>
        <w:t xml:space="preserve">to ma non più </w:t>
      </w:r>
      <w:r w:rsidR="00CF03DD">
        <w:rPr>
          <w:rFonts w:ascii="Verdana" w:hAnsi="Verdana"/>
          <w:bCs/>
          <w:sz w:val="24"/>
          <w:szCs w:val="24"/>
        </w:rPr>
        <w:t>attualmente sussistente</w:t>
      </w:r>
      <w:r>
        <w:rPr>
          <w:rFonts w:ascii="Verdana" w:hAnsi="Verdana"/>
          <w:bCs/>
          <w:sz w:val="24"/>
          <w:szCs w:val="24"/>
        </w:rPr>
        <w:t>, il soggetto permanga titolare d</w:t>
      </w:r>
      <w:r w:rsidR="008124A7" w:rsidRPr="008124A7">
        <w:rPr>
          <w:rFonts w:ascii="Verdana" w:hAnsi="Verdana"/>
          <w:bCs/>
          <w:sz w:val="24"/>
          <w:szCs w:val="24"/>
        </w:rPr>
        <w:t>ella tutela speciale accordatagli dal</w:t>
      </w:r>
      <w:r>
        <w:rPr>
          <w:rFonts w:ascii="Verdana" w:hAnsi="Verdana"/>
          <w:bCs/>
          <w:sz w:val="24"/>
          <w:szCs w:val="24"/>
        </w:rPr>
        <w:t>l’</w:t>
      </w:r>
      <w:r w:rsidR="008124A7" w:rsidRPr="008124A7">
        <w:rPr>
          <w:rFonts w:ascii="Verdana" w:hAnsi="Verdana"/>
          <w:bCs/>
          <w:sz w:val="24"/>
          <w:szCs w:val="24"/>
        </w:rPr>
        <w:t>art.35</w:t>
      </w:r>
      <w:r>
        <w:rPr>
          <w:rFonts w:ascii="Verdana" w:hAnsi="Verdana"/>
          <w:bCs/>
          <w:sz w:val="24"/>
          <w:szCs w:val="24"/>
        </w:rPr>
        <w:t>-</w:t>
      </w:r>
      <w:r w:rsidR="008124A7" w:rsidRPr="008124A7">
        <w:rPr>
          <w:rFonts w:ascii="Verdana" w:hAnsi="Verdana"/>
          <w:bCs/>
          <w:i/>
          <w:iCs/>
          <w:sz w:val="24"/>
          <w:szCs w:val="24"/>
        </w:rPr>
        <w:t xml:space="preserve">ter </w:t>
      </w:r>
      <w:proofErr w:type="spellStart"/>
      <w:r>
        <w:rPr>
          <w:rFonts w:ascii="Verdana" w:hAnsi="Verdana"/>
          <w:bCs/>
          <w:sz w:val="24"/>
          <w:szCs w:val="24"/>
        </w:rPr>
        <w:t>ord</w:t>
      </w:r>
      <w:proofErr w:type="spellEnd"/>
      <w:r>
        <w:rPr>
          <w:rFonts w:ascii="Verdana" w:hAnsi="Verdana"/>
          <w:bCs/>
          <w:sz w:val="24"/>
          <w:szCs w:val="24"/>
        </w:rPr>
        <w:t xml:space="preserve">. </w:t>
      </w:r>
      <w:proofErr w:type="spellStart"/>
      <w:proofErr w:type="gramStart"/>
      <w:r>
        <w:rPr>
          <w:rFonts w:ascii="Verdana" w:hAnsi="Verdana"/>
          <w:bCs/>
          <w:sz w:val="24"/>
          <w:szCs w:val="24"/>
        </w:rPr>
        <w:t>penit</w:t>
      </w:r>
      <w:proofErr w:type="spellEnd"/>
      <w:r>
        <w:rPr>
          <w:rFonts w:ascii="Verdana" w:hAnsi="Verdana"/>
          <w:bCs/>
          <w:sz w:val="24"/>
          <w:szCs w:val="24"/>
        </w:rPr>
        <w:t>.,</w:t>
      </w:r>
      <w:proofErr w:type="gramEnd"/>
      <w:r>
        <w:rPr>
          <w:rFonts w:ascii="Verdana" w:hAnsi="Verdana"/>
          <w:bCs/>
          <w:sz w:val="24"/>
          <w:szCs w:val="24"/>
        </w:rPr>
        <w:t xml:space="preserve"> pur sempre azionabile di fronte al </w:t>
      </w:r>
      <w:r w:rsidR="008124A7" w:rsidRPr="008124A7">
        <w:rPr>
          <w:rFonts w:ascii="Verdana" w:hAnsi="Verdana"/>
          <w:bCs/>
          <w:sz w:val="24"/>
          <w:szCs w:val="24"/>
        </w:rPr>
        <w:t>Magistrato di Sorveglianza.</w:t>
      </w:r>
    </w:p>
    <w:p w:rsidR="003A125F" w:rsidRDefault="00D20DC3" w:rsidP="00746EB6">
      <w:pPr>
        <w:spacing w:after="0" w:line="360" w:lineRule="auto"/>
        <w:ind w:firstLine="708"/>
        <w:jc w:val="both"/>
        <w:rPr>
          <w:rFonts w:ascii="Verdana" w:hAnsi="Verdana"/>
          <w:bCs/>
          <w:sz w:val="24"/>
          <w:szCs w:val="24"/>
        </w:rPr>
      </w:pPr>
      <w:r>
        <w:rPr>
          <w:rFonts w:ascii="Verdana" w:hAnsi="Verdana"/>
          <w:bCs/>
          <w:sz w:val="24"/>
          <w:szCs w:val="24"/>
        </w:rPr>
        <w:t xml:space="preserve">Un tale approdo è confortato – secondo la </w:t>
      </w:r>
      <w:r w:rsidR="00FD7CB6">
        <w:rPr>
          <w:rFonts w:ascii="Verdana" w:hAnsi="Verdana"/>
          <w:bCs/>
          <w:sz w:val="24"/>
          <w:szCs w:val="24"/>
        </w:rPr>
        <w:t xml:space="preserve">sentenza </w:t>
      </w:r>
      <w:r>
        <w:rPr>
          <w:rFonts w:ascii="Verdana" w:hAnsi="Verdana"/>
          <w:bCs/>
          <w:sz w:val="24"/>
          <w:szCs w:val="24"/>
        </w:rPr>
        <w:t>n</w:t>
      </w:r>
      <w:r w:rsidR="00CF03DD">
        <w:rPr>
          <w:rFonts w:ascii="Verdana" w:hAnsi="Verdana"/>
          <w:bCs/>
          <w:sz w:val="24"/>
          <w:szCs w:val="24"/>
        </w:rPr>
        <w:t xml:space="preserve">.43722/2015 </w:t>
      </w:r>
      <w:r>
        <w:rPr>
          <w:rFonts w:ascii="Verdana" w:hAnsi="Verdana"/>
          <w:bCs/>
          <w:sz w:val="24"/>
          <w:szCs w:val="24"/>
        </w:rPr>
        <w:t xml:space="preserve">– da </w:t>
      </w:r>
      <w:r w:rsidR="00CF03DD">
        <w:rPr>
          <w:rFonts w:ascii="Verdana" w:hAnsi="Verdana"/>
          <w:bCs/>
          <w:sz w:val="24"/>
          <w:szCs w:val="24"/>
        </w:rPr>
        <w:t>&lt;&lt;</w:t>
      </w:r>
      <w:r>
        <w:rPr>
          <w:rFonts w:ascii="Verdana" w:hAnsi="Verdana"/>
          <w:bCs/>
          <w:sz w:val="24"/>
          <w:szCs w:val="24"/>
        </w:rPr>
        <w:t xml:space="preserve">solidi argomenti di natura </w:t>
      </w:r>
      <w:r w:rsidRPr="00D20DC3">
        <w:rPr>
          <w:rFonts w:ascii="Verdana" w:hAnsi="Verdana"/>
          <w:bCs/>
          <w:sz w:val="24"/>
          <w:szCs w:val="24"/>
        </w:rPr>
        <w:t>logica e sistematica</w:t>
      </w:r>
      <w:r w:rsidR="00CF03DD">
        <w:rPr>
          <w:rFonts w:ascii="Verdana" w:hAnsi="Verdana"/>
          <w:bCs/>
          <w:sz w:val="24"/>
          <w:szCs w:val="24"/>
        </w:rPr>
        <w:t>&gt;&gt;</w:t>
      </w:r>
      <w:r>
        <w:rPr>
          <w:rFonts w:ascii="Verdana" w:hAnsi="Verdana"/>
          <w:bCs/>
          <w:sz w:val="24"/>
          <w:szCs w:val="24"/>
        </w:rPr>
        <w:t>, che fa</w:t>
      </w:r>
      <w:r w:rsidR="00CF03DD">
        <w:rPr>
          <w:rFonts w:ascii="Verdana" w:hAnsi="Verdana"/>
          <w:bCs/>
          <w:sz w:val="24"/>
          <w:szCs w:val="24"/>
        </w:rPr>
        <w:t>rebbero</w:t>
      </w:r>
      <w:r>
        <w:rPr>
          <w:rFonts w:ascii="Verdana" w:hAnsi="Verdana"/>
          <w:bCs/>
          <w:sz w:val="24"/>
          <w:szCs w:val="24"/>
        </w:rPr>
        <w:t xml:space="preserve"> premio su un &lt;&lt; i</w:t>
      </w:r>
      <w:r w:rsidRPr="00D20DC3">
        <w:rPr>
          <w:rFonts w:ascii="Verdana" w:hAnsi="Verdana"/>
          <w:bCs/>
          <w:sz w:val="24"/>
          <w:szCs w:val="24"/>
        </w:rPr>
        <w:t>nfelice utilizzo di una tecnica di</w:t>
      </w:r>
      <w:r>
        <w:rPr>
          <w:rFonts w:ascii="Verdana" w:hAnsi="Verdana"/>
          <w:bCs/>
          <w:sz w:val="24"/>
          <w:szCs w:val="24"/>
        </w:rPr>
        <w:t xml:space="preserve"> </w:t>
      </w:r>
      <w:r w:rsidRPr="00D20DC3">
        <w:rPr>
          <w:rFonts w:ascii="Verdana" w:hAnsi="Verdana"/>
          <w:bCs/>
          <w:sz w:val="24"/>
          <w:szCs w:val="24"/>
        </w:rPr>
        <w:t>redazione normativa che pa</w:t>
      </w:r>
      <w:r>
        <w:rPr>
          <w:rFonts w:ascii="Verdana" w:hAnsi="Verdana"/>
          <w:bCs/>
          <w:sz w:val="24"/>
          <w:szCs w:val="24"/>
        </w:rPr>
        <w:t>r</w:t>
      </w:r>
      <w:r w:rsidRPr="00D20DC3">
        <w:rPr>
          <w:rFonts w:ascii="Verdana" w:hAnsi="Verdana"/>
          <w:bCs/>
          <w:sz w:val="24"/>
          <w:szCs w:val="24"/>
        </w:rPr>
        <w:t>rebbe legittimare una estensione totalizzante del</w:t>
      </w:r>
      <w:r w:rsidRPr="00D20DC3">
        <w:rPr>
          <w:rFonts w:ascii="Times New Roman" w:hAnsi="Times New Roman" w:cs="Times New Roman"/>
          <w:sz w:val="21"/>
          <w:szCs w:val="21"/>
        </w:rPr>
        <w:t xml:space="preserve"> </w:t>
      </w:r>
      <w:r w:rsidRPr="00D20DC3">
        <w:rPr>
          <w:rFonts w:ascii="Verdana" w:hAnsi="Verdana"/>
          <w:bCs/>
          <w:sz w:val="24"/>
          <w:szCs w:val="24"/>
        </w:rPr>
        <w:t>rinvio contenuto nell'art.35</w:t>
      </w:r>
      <w:r>
        <w:rPr>
          <w:rFonts w:ascii="Verdana" w:hAnsi="Verdana"/>
          <w:bCs/>
          <w:sz w:val="24"/>
          <w:szCs w:val="24"/>
        </w:rPr>
        <w:t>-</w:t>
      </w:r>
      <w:r w:rsidRPr="00D20DC3">
        <w:rPr>
          <w:rFonts w:ascii="Verdana" w:hAnsi="Verdana"/>
          <w:bCs/>
          <w:i/>
          <w:iCs/>
          <w:sz w:val="24"/>
          <w:szCs w:val="24"/>
        </w:rPr>
        <w:t xml:space="preserve">ter </w:t>
      </w:r>
      <w:r w:rsidRPr="00D20DC3">
        <w:rPr>
          <w:rFonts w:ascii="Verdana" w:hAnsi="Verdana"/>
          <w:bCs/>
          <w:sz w:val="24"/>
          <w:szCs w:val="24"/>
        </w:rPr>
        <w:t>co.1 alle caratteristiche del pregiudizio descritte</w:t>
      </w:r>
      <w:r>
        <w:rPr>
          <w:rFonts w:ascii="Verdana" w:hAnsi="Verdana"/>
          <w:bCs/>
          <w:sz w:val="24"/>
          <w:szCs w:val="24"/>
        </w:rPr>
        <w:t xml:space="preserve"> </w:t>
      </w:r>
      <w:r w:rsidRPr="00D20DC3">
        <w:rPr>
          <w:rFonts w:ascii="Verdana" w:hAnsi="Verdana"/>
          <w:bCs/>
          <w:sz w:val="24"/>
          <w:szCs w:val="24"/>
        </w:rPr>
        <w:t>nella disposizione richiamata.</w:t>
      </w:r>
      <w:r>
        <w:rPr>
          <w:rFonts w:ascii="Verdana" w:hAnsi="Verdana"/>
          <w:bCs/>
          <w:sz w:val="24"/>
          <w:szCs w:val="24"/>
        </w:rPr>
        <w:t>&gt;&gt;</w:t>
      </w:r>
    </w:p>
    <w:p w:rsidR="00FD7CB6" w:rsidRDefault="00A20D1B" w:rsidP="00746EB6">
      <w:pPr>
        <w:spacing w:after="0" w:line="360" w:lineRule="auto"/>
        <w:ind w:firstLine="708"/>
        <w:jc w:val="both"/>
        <w:rPr>
          <w:rFonts w:ascii="Verdana" w:hAnsi="Verdana"/>
          <w:bCs/>
          <w:sz w:val="24"/>
          <w:szCs w:val="24"/>
        </w:rPr>
      </w:pPr>
      <w:r>
        <w:rPr>
          <w:rFonts w:ascii="Verdana" w:hAnsi="Verdana"/>
          <w:bCs/>
          <w:sz w:val="24"/>
          <w:szCs w:val="24"/>
        </w:rPr>
        <w:t xml:space="preserve"> Invero, il riferimento portato dall’art.35-</w:t>
      </w:r>
      <w:r w:rsidRPr="00A20D1B">
        <w:rPr>
          <w:rFonts w:ascii="Verdana" w:hAnsi="Verdana"/>
          <w:bCs/>
          <w:i/>
          <w:sz w:val="24"/>
          <w:szCs w:val="24"/>
        </w:rPr>
        <w:t>ter</w:t>
      </w:r>
      <w:r>
        <w:rPr>
          <w:rFonts w:ascii="Verdana" w:hAnsi="Verdana"/>
          <w:bCs/>
          <w:sz w:val="24"/>
          <w:szCs w:val="24"/>
        </w:rPr>
        <w:t xml:space="preserve">, </w:t>
      </w:r>
      <w:proofErr w:type="spellStart"/>
      <w:r>
        <w:rPr>
          <w:rFonts w:ascii="Verdana" w:hAnsi="Verdana"/>
          <w:bCs/>
          <w:sz w:val="24"/>
          <w:szCs w:val="24"/>
        </w:rPr>
        <w:t>ord</w:t>
      </w:r>
      <w:proofErr w:type="spellEnd"/>
      <w:r>
        <w:rPr>
          <w:rFonts w:ascii="Verdana" w:hAnsi="Verdana"/>
          <w:bCs/>
          <w:sz w:val="24"/>
          <w:szCs w:val="24"/>
        </w:rPr>
        <w:t xml:space="preserve">. </w:t>
      </w:r>
      <w:proofErr w:type="spellStart"/>
      <w:r>
        <w:rPr>
          <w:rFonts w:ascii="Verdana" w:hAnsi="Verdana"/>
          <w:bCs/>
          <w:sz w:val="24"/>
          <w:szCs w:val="24"/>
        </w:rPr>
        <w:t>penit</w:t>
      </w:r>
      <w:proofErr w:type="spellEnd"/>
      <w:r>
        <w:rPr>
          <w:rFonts w:ascii="Verdana" w:hAnsi="Verdana"/>
          <w:bCs/>
          <w:sz w:val="24"/>
          <w:szCs w:val="24"/>
        </w:rPr>
        <w:t>., all’ “attualità” del pregiudizi</w:t>
      </w:r>
      <w:r w:rsidR="00A77FEE">
        <w:rPr>
          <w:rFonts w:ascii="Verdana" w:hAnsi="Verdana"/>
          <w:bCs/>
          <w:sz w:val="24"/>
          <w:szCs w:val="24"/>
        </w:rPr>
        <w:t>o subì</w:t>
      </w:r>
      <w:r>
        <w:rPr>
          <w:rFonts w:ascii="Verdana" w:hAnsi="Verdana"/>
          <w:bCs/>
          <w:sz w:val="24"/>
          <w:szCs w:val="24"/>
        </w:rPr>
        <w:t>to mediante il richiamo alla disposizione dell’art.</w:t>
      </w:r>
      <w:r w:rsidR="00D20DC3" w:rsidRPr="00D20DC3">
        <w:rPr>
          <w:rFonts w:ascii="Verdana" w:hAnsi="Verdana"/>
          <w:bCs/>
          <w:sz w:val="24"/>
          <w:szCs w:val="24"/>
        </w:rPr>
        <w:t>69</w:t>
      </w:r>
      <w:r>
        <w:rPr>
          <w:rFonts w:ascii="Verdana" w:hAnsi="Verdana"/>
          <w:bCs/>
          <w:sz w:val="24"/>
          <w:szCs w:val="24"/>
        </w:rPr>
        <w:t>,</w:t>
      </w:r>
      <w:r w:rsidR="00D20DC3" w:rsidRPr="00D20DC3">
        <w:rPr>
          <w:rFonts w:ascii="Verdana" w:hAnsi="Verdana"/>
          <w:bCs/>
          <w:sz w:val="24"/>
          <w:szCs w:val="24"/>
        </w:rPr>
        <w:t xml:space="preserve"> co</w:t>
      </w:r>
      <w:r>
        <w:rPr>
          <w:rFonts w:ascii="Verdana" w:hAnsi="Verdana"/>
          <w:bCs/>
          <w:sz w:val="24"/>
          <w:szCs w:val="24"/>
        </w:rPr>
        <w:t xml:space="preserve">mma </w:t>
      </w:r>
      <w:r w:rsidR="00D20DC3" w:rsidRPr="00D20DC3">
        <w:rPr>
          <w:rFonts w:ascii="Verdana" w:hAnsi="Verdana"/>
          <w:bCs/>
          <w:sz w:val="24"/>
          <w:szCs w:val="24"/>
        </w:rPr>
        <w:t>6</w:t>
      </w:r>
      <w:r>
        <w:rPr>
          <w:rFonts w:ascii="Verdana" w:hAnsi="Verdana"/>
          <w:bCs/>
          <w:sz w:val="24"/>
          <w:szCs w:val="24"/>
        </w:rPr>
        <w:t>,</w:t>
      </w:r>
      <w:r w:rsidR="00D20DC3" w:rsidRPr="00D20DC3">
        <w:rPr>
          <w:rFonts w:ascii="Verdana" w:hAnsi="Verdana"/>
          <w:bCs/>
          <w:sz w:val="24"/>
          <w:szCs w:val="24"/>
        </w:rPr>
        <w:t xml:space="preserve"> </w:t>
      </w:r>
      <w:proofErr w:type="spellStart"/>
      <w:r w:rsidR="00D20DC3" w:rsidRPr="00D20DC3">
        <w:rPr>
          <w:rFonts w:ascii="Verdana" w:hAnsi="Verdana"/>
          <w:bCs/>
          <w:sz w:val="24"/>
          <w:szCs w:val="24"/>
        </w:rPr>
        <w:t>lett.b</w:t>
      </w:r>
      <w:proofErr w:type="spellEnd"/>
      <w:r>
        <w:rPr>
          <w:rFonts w:ascii="Verdana" w:hAnsi="Verdana"/>
          <w:bCs/>
          <w:sz w:val="24"/>
          <w:szCs w:val="24"/>
        </w:rPr>
        <w:t xml:space="preserve">) della medesima legge </w:t>
      </w:r>
      <w:r w:rsidR="00FD7CB6">
        <w:rPr>
          <w:rFonts w:ascii="Verdana" w:hAnsi="Verdana"/>
          <w:bCs/>
          <w:sz w:val="24"/>
          <w:szCs w:val="24"/>
        </w:rPr>
        <w:t xml:space="preserve">integrerebbe </w:t>
      </w:r>
      <w:r w:rsidR="00CF03DD">
        <w:rPr>
          <w:rFonts w:ascii="Verdana" w:hAnsi="Verdana"/>
          <w:bCs/>
          <w:sz w:val="24"/>
          <w:szCs w:val="24"/>
        </w:rPr>
        <w:t xml:space="preserve">– osserva il supremo collegio - </w:t>
      </w:r>
      <w:r w:rsidR="00FD7CB6">
        <w:rPr>
          <w:rFonts w:ascii="Verdana" w:hAnsi="Verdana"/>
          <w:bCs/>
          <w:sz w:val="24"/>
          <w:szCs w:val="24"/>
        </w:rPr>
        <w:t>la</w:t>
      </w:r>
      <w:r>
        <w:rPr>
          <w:rFonts w:ascii="Verdana" w:hAnsi="Verdana"/>
          <w:bCs/>
          <w:sz w:val="24"/>
          <w:szCs w:val="24"/>
        </w:rPr>
        <w:t xml:space="preserve"> condizione necessaria ad attivare con successo la tutela </w:t>
      </w:r>
      <w:proofErr w:type="spellStart"/>
      <w:r w:rsidRPr="00A20D1B">
        <w:rPr>
          <w:rFonts w:ascii="Verdana" w:hAnsi="Verdana"/>
          <w:bCs/>
          <w:i/>
          <w:sz w:val="24"/>
          <w:szCs w:val="24"/>
        </w:rPr>
        <w:t>ope</w:t>
      </w:r>
      <w:proofErr w:type="spellEnd"/>
      <w:r w:rsidRPr="00A20D1B">
        <w:rPr>
          <w:rFonts w:ascii="Verdana" w:hAnsi="Verdana"/>
          <w:bCs/>
          <w:i/>
          <w:sz w:val="24"/>
          <w:szCs w:val="24"/>
        </w:rPr>
        <w:t xml:space="preserve"> </w:t>
      </w:r>
      <w:proofErr w:type="spellStart"/>
      <w:r w:rsidRPr="00A20D1B">
        <w:rPr>
          <w:rFonts w:ascii="Verdana" w:hAnsi="Verdana"/>
          <w:bCs/>
          <w:i/>
          <w:sz w:val="24"/>
          <w:szCs w:val="24"/>
        </w:rPr>
        <w:t>judicis</w:t>
      </w:r>
      <w:proofErr w:type="spellEnd"/>
      <w:r>
        <w:rPr>
          <w:rFonts w:ascii="Verdana" w:hAnsi="Verdana"/>
          <w:bCs/>
          <w:sz w:val="24"/>
          <w:szCs w:val="24"/>
        </w:rPr>
        <w:t xml:space="preserve"> soltanto con riguardo alla tipologia di </w:t>
      </w:r>
      <w:r w:rsidR="00A77FEE">
        <w:rPr>
          <w:rFonts w:ascii="Verdana" w:hAnsi="Verdana"/>
          <w:bCs/>
          <w:sz w:val="24"/>
          <w:szCs w:val="24"/>
        </w:rPr>
        <w:t>ristoro</w:t>
      </w:r>
      <w:r>
        <w:rPr>
          <w:rFonts w:ascii="Verdana" w:hAnsi="Verdana"/>
          <w:bCs/>
          <w:sz w:val="24"/>
          <w:szCs w:val="24"/>
        </w:rPr>
        <w:t xml:space="preserve"> ascrivibile al rimedio “preventivo”</w:t>
      </w:r>
      <w:r w:rsidR="00D20DC3" w:rsidRPr="00D20DC3">
        <w:rPr>
          <w:rFonts w:ascii="Verdana" w:hAnsi="Verdana"/>
          <w:bCs/>
          <w:sz w:val="24"/>
          <w:szCs w:val="24"/>
        </w:rPr>
        <w:t xml:space="preserve"> </w:t>
      </w:r>
      <w:r w:rsidR="003A125F">
        <w:rPr>
          <w:rFonts w:ascii="Verdana" w:hAnsi="Verdana"/>
          <w:bCs/>
          <w:sz w:val="24"/>
          <w:szCs w:val="24"/>
        </w:rPr>
        <w:t>(codificato nell’art. 35-</w:t>
      </w:r>
      <w:r w:rsidR="003A125F" w:rsidRPr="003A125F">
        <w:rPr>
          <w:rFonts w:ascii="Verdana" w:hAnsi="Verdana"/>
          <w:bCs/>
          <w:i/>
          <w:sz w:val="24"/>
          <w:szCs w:val="24"/>
        </w:rPr>
        <w:t>bis</w:t>
      </w:r>
      <w:r w:rsidR="003A125F">
        <w:rPr>
          <w:rFonts w:ascii="Verdana" w:hAnsi="Verdana"/>
          <w:bCs/>
          <w:sz w:val="24"/>
          <w:szCs w:val="24"/>
        </w:rPr>
        <w:t xml:space="preserve">, cit.) </w:t>
      </w:r>
      <w:r>
        <w:rPr>
          <w:rFonts w:ascii="Verdana" w:hAnsi="Verdana"/>
          <w:bCs/>
          <w:sz w:val="24"/>
          <w:szCs w:val="24"/>
        </w:rPr>
        <w:t xml:space="preserve">che, appunto, avrebbe ragione di operare soltanto in relazione ad un </w:t>
      </w:r>
      <w:r w:rsidR="00D20DC3" w:rsidRPr="00D20DC3">
        <w:rPr>
          <w:rFonts w:ascii="Verdana" w:hAnsi="Verdana"/>
          <w:bCs/>
          <w:sz w:val="24"/>
          <w:szCs w:val="24"/>
        </w:rPr>
        <w:t>«pregiudizio</w:t>
      </w:r>
      <w:r>
        <w:rPr>
          <w:rFonts w:ascii="Verdana" w:hAnsi="Verdana"/>
          <w:bCs/>
          <w:sz w:val="24"/>
          <w:szCs w:val="24"/>
        </w:rPr>
        <w:t xml:space="preserve"> attuale</w:t>
      </w:r>
      <w:r w:rsidR="00D20DC3" w:rsidRPr="00D20DC3">
        <w:rPr>
          <w:rFonts w:ascii="Verdana" w:hAnsi="Verdana"/>
          <w:bCs/>
          <w:sz w:val="24"/>
          <w:szCs w:val="24"/>
        </w:rPr>
        <w:t xml:space="preserve">» </w:t>
      </w:r>
      <w:r>
        <w:rPr>
          <w:rFonts w:ascii="Verdana" w:hAnsi="Verdana"/>
          <w:bCs/>
          <w:sz w:val="24"/>
          <w:szCs w:val="24"/>
        </w:rPr>
        <w:t xml:space="preserve">che l’ordine del giudice va a sanare. </w:t>
      </w:r>
    </w:p>
    <w:p w:rsidR="008852FA" w:rsidRDefault="00A20D1B" w:rsidP="00746EB6">
      <w:pPr>
        <w:spacing w:after="0" w:line="360" w:lineRule="auto"/>
        <w:ind w:firstLine="708"/>
        <w:jc w:val="both"/>
        <w:rPr>
          <w:rFonts w:ascii="Verdana" w:hAnsi="Verdana"/>
          <w:bCs/>
          <w:sz w:val="24"/>
          <w:szCs w:val="24"/>
        </w:rPr>
      </w:pPr>
      <w:r>
        <w:rPr>
          <w:rFonts w:ascii="Verdana" w:hAnsi="Verdana"/>
          <w:bCs/>
          <w:sz w:val="24"/>
          <w:szCs w:val="24"/>
        </w:rPr>
        <w:lastRenderedPageBreak/>
        <w:t xml:space="preserve">Inoltre, la correlazione tra il rimedio “compensativo” rappresentato dalla proporzionale riduzione della pena ancora da espiare e lo stato di detenzione in atto (che l’ipotesi “attualista” verrebbe a spezzare nel caso di pregiudizio non più attuale, con attribuzione della relativa competenza a decidere al giudice civile), </w:t>
      </w:r>
      <w:r w:rsidR="00A77FEE">
        <w:rPr>
          <w:rFonts w:ascii="Verdana" w:hAnsi="Verdana"/>
          <w:bCs/>
          <w:sz w:val="24"/>
          <w:szCs w:val="24"/>
        </w:rPr>
        <w:t>appare sistematicamente preferibile, atteso che sarebbe del tutto irragionevole sul piano sistematico attribuire al</w:t>
      </w:r>
      <w:r w:rsidR="00CF03DD">
        <w:rPr>
          <w:rFonts w:ascii="Verdana" w:hAnsi="Verdana"/>
          <w:bCs/>
          <w:sz w:val="24"/>
          <w:szCs w:val="24"/>
        </w:rPr>
        <w:t xml:space="preserve"> </w:t>
      </w:r>
      <w:r w:rsidR="00A77FEE">
        <w:rPr>
          <w:rFonts w:ascii="Verdana" w:hAnsi="Verdana"/>
          <w:bCs/>
          <w:sz w:val="24"/>
          <w:szCs w:val="24"/>
        </w:rPr>
        <w:t>plesso</w:t>
      </w:r>
      <w:r w:rsidR="00CF03DD">
        <w:rPr>
          <w:rFonts w:ascii="Verdana" w:hAnsi="Verdana"/>
          <w:bCs/>
          <w:sz w:val="24"/>
          <w:szCs w:val="24"/>
        </w:rPr>
        <w:t xml:space="preserve"> civile </w:t>
      </w:r>
      <w:r w:rsidR="00A77FEE">
        <w:rPr>
          <w:rFonts w:ascii="Verdana" w:hAnsi="Verdana"/>
          <w:bCs/>
          <w:sz w:val="24"/>
          <w:szCs w:val="24"/>
        </w:rPr>
        <w:t xml:space="preserve">la </w:t>
      </w:r>
      <w:r w:rsidR="00CF03DD">
        <w:rPr>
          <w:rFonts w:ascii="Verdana" w:hAnsi="Verdana"/>
          <w:bCs/>
          <w:sz w:val="24"/>
          <w:szCs w:val="24"/>
        </w:rPr>
        <w:t>competenza ad</w:t>
      </w:r>
      <w:r w:rsidR="00A77FEE">
        <w:rPr>
          <w:rFonts w:ascii="Verdana" w:hAnsi="Verdana"/>
          <w:bCs/>
          <w:sz w:val="24"/>
          <w:szCs w:val="24"/>
        </w:rPr>
        <w:t xml:space="preserve"> operare sul rapporto esecutivo penale</w:t>
      </w:r>
      <w:r w:rsidR="00CF03DD">
        <w:rPr>
          <w:rFonts w:ascii="Verdana" w:hAnsi="Verdana"/>
          <w:bCs/>
          <w:sz w:val="24"/>
          <w:szCs w:val="24"/>
        </w:rPr>
        <w:t>. T</w:t>
      </w:r>
      <w:r w:rsidR="00A77FEE">
        <w:rPr>
          <w:rFonts w:ascii="Verdana" w:hAnsi="Verdana"/>
          <w:bCs/>
          <w:sz w:val="24"/>
          <w:szCs w:val="24"/>
        </w:rPr>
        <w:t>ale soluzione contr</w:t>
      </w:r>
      <w:r w:rsidR="002B4458">
        <w:rPr>
          <w:rFonts w:ascii="Verdana" w:hAnsi="Verdana"/>
          <w:bCs/>
          <w:sz w:val="24"/>
          <w:szCs w:val="24"/>
        </w:rPr>
        <w:t>a</w:t>
      </w:r>
      <w:r w:rsidR="00A77FEE">
        <w:rPr>
          <w:rFonts w:ascii="Verdana" w:hAnsi="Verdana"/>
          <w:bCs/>
          <w:sz w:val="24"/>
          <w:szCs w:val="24"/>
        </w:rPr>
        <w:t xml:space="preserve">sterebbe, oltretutto, con la previsione </w:t>
      </w:r>
      <w:r w:rsidR="00D20DC3" w:rsidRPr="00D20DC3">
        <w:rPr>
          <w:rFonts w:ascii="Verdana" w:hAnsi="Verdana"/>
          <w:bCs/>
          <w:sz w:val="24"/>
          <w:szCs w:val="24"/>
        </w:rPr>
        <w:t>(art. 35</w:t>
      </w:r>
      <w:r w:rsidR="00A77FEE">
        <w:rPr>
          <w:rFonts w:ascii="Verdana" w:hAnsi="Verdana"/>
          <w:bCs/>
          <w:sz w:val="24"/>
          <w:szCs w:val="24"/>
        </w:rPr>
        <w:t>-</w:t>
      </w:r>
      <w:r w:rsidR="00D20DC3" w:rsidRPr="00D20DC3">
        <w:rPr>
          <w:rFonts w:ascii="Verdana" w:hAnsi="Verdana"/>
          <w:bCs/>
          <w:i/>
          <w:iCs/>
          <w:sz w:val="24"/>
          <w:szCs w:val="24"/>
        </w:rPr>
        <w:t>ter</w:t>
      </w:r>
      <w:r w:rsidR="00A77FEE">
        <w:rPr>
          <w:rFonts w:ascii="Verdana" w:hAnsi="Verdana"/>
          <w:bCs/>
          <w:i/>
          <w:iCs/>
          <w:sz w:val="24"/>
          <w:szCs w:val="24"/>
        </w:rPr>
        <w:t xml:space="preserve">, </w:t>
      </w:r>
      <w:r w:rsidR="00D20DC3" w:rsidRPr="00D20DC3">
        <w:rPr>
          <w:rFonts w:ascii="Verdana" w:hAnsi="Verdana"/>
          <w:bCs/>
          <w:sz w:val="24"/>
          <w:szCs w:val="24"/>
        </w:rPr>
        <w:t>co</w:t>
      </w:r>
      <w:r w:rsidR="00A77FEE">
        <w:rPr>
          <w:rFonts w:ascii="Verdana" w:hAnsi="Verdana"/>
          <w:bCs/>
          <w:sz w:val="24"/>
          <w:szCs w:val="24"/>
        </w:rPr>
        <w:t xml:space="preserve">mma </w:t>
      </w:r>
      <w:r w:rsidR="003A125F">
        <w:rPr>
          <w:rFonts w:ascii="Verdana" w:hAnsi="Verdana"/>
          <w:bCs/>
          <w:sz w:val="24"/>
          <w:szCs w:val="24"/>
        </w:rPr>
        <w:t>3</w:t>
      </w:r>
      <w:r w:rsidR="00D20DC3" w:rsidRPr="00D20DC3">
        <w:rPr>
          <w:rFonts w:ascii="Verdana" w:hAnsi="Verdana"/>
          <w:bCs/>
          <w:sz w:val="24"/>
          <w:szCs w:val="24"/>
        </w:rPr>
        <w:t xml:space="preserve">) </w:t>
      </w:r>
      <w:r w:rsidR="00A77FEE">
        <w:rPr>
          <w:rFonts w:ascii="Verdana" w:hAnsi="Verdana"/>
          <w:bCs/>
          <w:sz w:val="24"/>
          <w:szCs w:val="24"/>
        </w:rPr>
        <w:t xml:space="preserve">che assegna </w:t>
      </w:r>
      <w:r w:rsidR="00D20DC3" w:rsidRPr="00D20DC3">
        <w:rPr>
          <w:rFonts w:ascii="Verdana" w:hAnsi="Verdana"/>
          <w:bCs/>
          <w:sz w:val="24"/>
          <w:szCs w:val="24"/>
        </w:rPr>
        <w:t xml:space="preserve">al Tribunale ordinario civile </w:t>
      </w:r>
      <w:r w:rsidR="00CF03DD">
        <w:rPr>
          <w:rFonts w:ascii="Verdana" w:hAnsi="Verdana"/>
          <w:bCs/>
          <w:sz w:val="24"/>
          <w:szCs w:val="24"/>
        </w:rPr>
        <w:t xml:space="preserve">(soltanto) </w:t>
      </w:r>
      <w:r w:rsidR="00D20DC3" w:rsidRPr="00D20DC3">
        <w:rPr>
          <w:rFonts w:ascii="Verdana" w:hAnsi="Verdana"/>
          <w:bCs/>
          <w:sz w:val="24"/>
          <w:szCs w:val="24"/>
        </w:rPr>
        <w:t>la giurisdizione sulle domande di tipo</w:t>
      </w:r>
      <w:r w:rsidR="00A77FEE">
        <w:rPr>
          <w:rFonts w:ascii="Verdana" w:hAnsi="Verdana"/>
          <w:bCs/>
          <w:sz w:val="24"/>
          <w:szCs w:val="24"/>
        </w:rPr>
        <w:t xml:space="preserve"> </w:t>
      </w:r>
      <w:r w:rsidR="00D20DC3" w:rsidRPr="00D20DC3">
        <w:rPr>
          <w:rFonts w:ascii="Verdana" w:hAnsi="Verdana"/>
          <w:bCs/>
          <w:sz w:val="24"/>
          <w:szCs w:val="24"/>
        </w:rPr>
        <w:t xml:space="preserve">risarcitorio </w:t>
      </w:r>
      <w:r w:rsidR="00A77FEE">
        <w:rPr>
          <w:rFonts w:ascii="Verdana" w:hAnsi="Verdana"/>
          <w:bCs/>
          <w:sz w:val="24"/>
          <w:szCs w:val="24"/>
        </w:rPr>
        <w:t xml:space="preserve">formulate da soggetti </w:t>
      </w:r>
      <w:r w:rsidR="00D20DC3" w:rsidRPr="00D20DC3">
        <w:rPr>
          <w:rFonts w:ascii="Verdana" w:hAnsi="Verdana"/>
          <w:bCs/>
          <w:sz w:val="24"/>
          <w:szCs w:val="24"/>
        </w:rPr>
        <w:t>che hanno subito un pregiudizio in fase</w:t>
      </w:r>
      <w:r w:rsidR="00A77FEE">
        <w:rPr>
          <w:rFonts w:ascii="Verdana" w:hAnsi="Verdana"/>
          <w:bCs/>
          <w:sz w:val="24"/>
          <w:szCs w:val="24"/>
        </w:rPr>
        <w:t xml:space="preserve"> di detenzione </w:t>
      </w:r>
      <w:r w:rsidR="00D20DC3" w:rsidRPr="00D20DC3">
        <w:rPr>
          <w:rFonts w:ascii="Verdana" w:hAnsi="Verdana"/>
          <w:bCs/>
          <w:sz w:val="24"/>
          <w:szCs w:val="24"/>
        </w:rPr>
        <w:t>cautelare non seguit</w:t>
      </w:r>
      <w:r w:rsidR="00A77FEE">
        <w:rPr>
          <w:rFonts w:ascii="Verdana" w:hAnsi="Verdana"/>
          <w:bCs/>
          <w:sz w:val="24"/>
          <w:szCs w:val="24"/>
        </w:rPr>
        <w:t>a</w:t>
      </w:r>
      <w:r w:rsidR="00D20DC3" w:rsidRPr="00D20DC3">
        <w:rPr>
          <w:rFonts w:ascii="Verdana" w:hAnsi="Verdana"/>
          <w:bCs/>
          <w:sz w:val="24"/>
          <w:szCs w:val="24"/>
        </w:rPr>
        <w:t xml:space="preserve"> da esecuzione o che hanno «terminato di espiare la pena</w:t>
      </w:r>
      <w:r w:rsidR="00A77FEE">
        <w:rPr>
          <w:rFonts w:ascii="Verdana" w:hAnsi="Verdana"/>
          <w:bCs/>
          <w:sz w:val="24"/>
          <w:szCs w:val="24"/>
        </w:rPr>
        <w:t xml:space="preserve"> </w:t>
      </w:r>
      <w:r w:rsidR="00D20DC3" w:rsidRPr="00D20DC3">
        <w:rPr>
          <w:rFonts w:ascii="Verdana" w:hAnsi="Verdana"/>
          <w:bCs/>
          <w:sz w:val="24"/>
          <w:szCs w:val="24"/>
        </w:rPr>
        <w:t>detentiva in carcere»</w:t>
      </w:r>
      <w:r w:rsidR="00A77FEE">
        <w:rPr>
          <w:rFonts w:ascii="Verdana" w:hAnsi="Verdana"/>
          <w:bCs/>
          <w:sz w:val="24"/>
          <w:szCs w:val="24"/>
        </w:rPr>
        <w:t xml:space="preserve">. In altri termini, sussisterebbe </w:t>
      </w:r>
      <w:r w:rsidR="00D20DC3" w:rsidRPr="00D20DC3">
        <w:rPr>
          <w:rFonts w:ascii="Verdana" w:hAnsi="Verdana"/>
          <w:bCs/>
          <w:sz w:val="24"/>
          <w:szCs w:val="24"/>
        </w:rPr>
        <w:t>un</w:t>
      </w:r>
      <w:r w:rsidR="00A77FEE">
        <w:rPr>
          <w:rFonts w:ascii="Verdana" w:hAnsi="Verdana"/>
          <w:bCs/>
          <w:sz w:val="24"/>
          <w:szCs w:val="24"/>
        </w:rPr>
        <w:t>a &lt;&lt;</w:t>
      </w:r>
      <w:r w:rsidR="00D20DC3" w:rsidRPr="00D20DC3">
        <w:rPr>
          <w:rFonts w:ascii="Verdana" w:hAnsi="Verdana"/>
          <w:bCs/>
          <w:sz w:val="24"/>
          <w:szCs w:val="24"/>
        </w:rPr>
        <w:t>evidente correlazione funzionale tra la</w:t>
      </w:r>
      <w:r w:rsidR="00A77FEE">
        <w:rPr>
          <w:rFonts w:ascii="Verdana" w:hAnsi="Verdana"/>
          <w:bCs/>
          <w:sz w:val="24"/>
          <w:szCs w:val="24"/>
        </w:rPr>
        <w:t xml:space="preserve"> </w:t>
      </w:r>
      <w:r w:rsidR="00D20DC3" w:rsidRPr="00D20DC3">
        <w:rPr>
          <w:rFonts w:ascii="Verdana" w:hAnsi="Verdana"/>
          <w:bCs/>
          <w:sz w:val="24"/>
          <w:szCs w:val="24"/>
        </w:rPr>
        <w:t>protrazione della detenzione (nel cui ambito si sia verificato il denunziato</w:t>
      </w:r>
      <w:r w:rsidR="00A77FEE">
        <w:rPr>
          <w:rFonts w:ascii="Verdana" w:hAnsi="Verdana"/>
          <w:bCs/>
          <w:sz w:val="24"/>
          <w:szCs w:val="24"/>
        </w:rPr>
        <w:t xml:space="preserve"> </w:t>
      </w:r>
      <w:r w:rsidR="00D20DC3" w:rsidRPr="00D20DC3">
        <w:rPr>
          <w:rFonts w:ascii="Verdana" w:hAnsi="Verdana"/>
          <w:bCs/>
          <w:sz w:val="24"/>
          <w:szCs w:val="24"/>
        </w:rPr>
        <w:t>pregiudizio) e la giurisdizione del Magistrato di Sorveglianza.</w:t>
      </w:r>
      <w:r w:rsidR="00A77FEE">
        <w:rPr>
          <w:rFonts w:ascii="Verdana" w:hAnsi="Verdana"/>
          <w:bCs/>
          <w:sz w:val="24"/>
          <w:szCs w:val="24"/>
        </w:rPr>
        <w:t>&gt;&gt; Insomma</w:t>
      </w:r>
      <w:r w:rsidR="005931F6">
        <w:rPr>
          <w:rFonts w:ascii="Verdana" w:hAnsi="Verdana"/>
          <w:bCs/>
          <w:sz w:val="24"/>
          <w:szCs w:val="24"/>
        </w:rPr>
        <w:t xml:space="preserve">, </w:t>
      </w:r>
      <w:r w:rsidR="00FD7CB6">
        <w:rPr>
          <w:rFonts w:ascii="Verdana" w:hAnsi="Verdana"/>
          <w:bCs/>
          <w:sz w:val="24"/>
          <w:szCs w:val="24"/>
        </w:rPr>
        <w:t xml:space="preserve">così </w:t>
      </w:r>
      <w:r w:rsidR="005931F6">
        <w:rPr>
          <w:rFonts w:ascii="Verdana" w:hAnsi="Verdana"/>
          <w:bCs/>
          <w:sz w:val="24"/>
          <w:szCs w:val="24"/>
        </w:rPr>
        <w:t xml:space="preserve">conclude il </w:t>
      </w:r>
      <w:r w:rsidR="00FD7CB6">
        <w:rPr>
          <w:rFonts w:ascii="Verdana" w:hAnsi="Verdana"/>
          <w:bCs/>
          <w:sz w:val="24"/>
          <w:szCs w:val="24"/>
        </w:rPr>
        <w:t>secondo c</w:t>
      </w:r>
      <w:r w:rsidR="005931F6">
        <w:rPr>
          <w:rFonts w:ascii="Verdana" w:hAnsi="Verdana"/>
          <w:bCs/>
          <w:sz w:val="24"/>
          <w:szCs w:val="24"/>
        </w:rPr>
        <w:t>ollegio</w:t>
      </w:r>
      <w:r w:rsidR="00CF03DD">
        <w:rPr>
          <w:rFonts w:ascii="Verdana" w:hAnsi="Verdana"/>
          <w:bCs/>
          <w:sz w:val="24"/>
          <w:szCs w:val="24"/>
        </w:rPr>
        <w:t>,</w:t>
      </w:r>
      <w:r w:rsidR="00A77FEE">
        <w:rPr>
          <w:rFonts w:ascii="Verdana" w:hAnsi="Verdana"/>
          <w:bCs/>
          <w:sz w:val="24"/>
          <w:szCs w:val="24"/>
        </w:rPr>
        <w:t xml:space="preserve"> </w:t>
      </w:r>
      <w:r w:rsidR="00D20DC3" w:rsidRPr="00D20DC3">
        <w:rPr>
          <w:rFonts w:ascii="Verdana" w:hAnsi="Verdana"/>
          <w:bCs/>
          <w:sz w:val="24"/>
          <w:szCs w:val="24"/>
        </w:rPr>
        <w:t>il rinvio, contenuto nell'art.35</w:t>
      </w:r>
      <w:r w:rsidR="00A77FEE">
        <w:rPr>
          <w:rFonts w:ascii="Verdana" w:hAnsi="Verdana"/>
          <w:bCs/>
          <w:sz w:val="24"/>
          <w:szCs w:val="24"/>
        </w:rPr>
        <w:t>-</w:t>
      </w:r>
      <w:r w:rsidR="00D20DC3" w:rsidRPr="00D20DC3">
        <w:rPr>
          <w:rFonts w:ascii="Verdana" w:hAnsi="Verdana"/>
          <w:bCs/>
          <w:i/>
          <w:iCs/>
          <w:sz w:val="24"/>
          <w:szCs w:val="24"/>
        </w:rPr>
        <w:t>ter</w:t>
      </w:r>
      <w:r w:rsidR="00A77FEE">
        <w:rPr>
          <w:rFonts w:ascii="Verdana" w:hAnsi="Verdana"/>
          <w:bCs/>
          <w:i/>
          <w:iCs/>
          <w:sz w:val="24"/>
          <w:szCs w:val="24"/>
        </w:rPr>
        <w:t xml:space="preserve">, </w:t>
      </w:r>
      <w:r w:rsidR="00A77FEE">
        <w:rPr>
          <w:rFonts w:ascii="Verdana" w:hAnsi="Verdana"/>
          <w:bCs/>
          <w:iCs/>
          <w:sz w:val="24"/>
          <w:szCs w:val="24"/>
        </w:rPr>
        <w:t xml:space="preserve">comma 1, </w:t>
      </w:r>
      <w:r w:rsidR="00D20DC3" w:rsidRPr="00D20DC3">
        <w:rPr>
          <w:rFonts w:ascii="Verdana" w:hAnsi="Verdana"/>
          <w:bCs/>
          <w:sz w:val="24"/>
          <w:szCs w:val="24"/>
        </w:rPr>
        <w:t>al</w:t>
      </w:r>
      <w:r w:rsidR="005931F6">
        <w:rPr>
          <w:rFonts w:ascii="Verdana" w:hAnsi="Verdana"/>
          <w:bCs/>
          <w:sz w:val="24"/>
          <w:szCs w:val="24"/>
        </w:rPr>
        <w:t xml:space="preserve"> </w:t>
      </w:r>
      <w:r w:rsidR="00D20DC3" w:rsidRPr="00D20DC3">
        <w:rPr>
          <w:rFonts w:ascii="Verdana" w:hAnsi="Verdana"/>
          <w:bCs/>
          <w:sz w:val="24"/>
          <w:szCs w:val="24"/>
        </w:rPr>
        <w:t xml:space="preserve">pregiudizio </w:t>
      </w:r>
      <w:r w:rsidR="00A77FEE">
        <w:rPr>
          <w:rFonts w:ascii="Verdana" w:hAnsi="Verdana"/>
          <w:bCs/>
          <w:sz w:val="24"/>
          <w:szCs w:val="24"/>
        </w:rPr>
        <w:t>di cui all'art.69</w:t>
      </w:r>
      <w:r w:rsidR="005931F6">
        <w:rPr>
          <w:rFonts w:ascii="Verdana" w:hAnsi="Verdana"/>
          <w:bCs/>
          <w:sz w:val="24"/>
          <w:szCs w:val="24"/>
        </w:rPr>
        <w:t>,</w:t>
      </w:r>
      <w:r w:rsidR="00A77FEE">
        <w:rPr>
          <w:rFonts w:ascii="Verdana" w:hAnsi="Verdana"/>
          <w:bCs/>
          <w:sz w:val="24"/>
          <w:szCs w:val="24"/>
        </w:rPr>
        <w:t xml:space="preserve"> co</w:t>
      </w:r>
      <w:r w:rsidR="005931F6">
        <w:rPr>
          <w:rFonts w:ascii="Verdana" w:hAnsi="Verdana"/>
          <w:bCs/>
          <w:sz w:val="24"/>
          <w:szCs w:val="24"/>
        </w:rPr>
        <w:t xml:space="preserve">mma </w:t>
      </w:r>
      <w:r w:rsidR="00A77FEE">
        <w:rPr>
          <w:rFonts w:ascii="Verdana" w:hAnsi="Verdana"/>
          <w:bCs/>
          <w:sz w:val="24"/>
          <w:szCs w:val="24"/>
        </w:rPr>
        <w:t xml:space="preserve">6 </w:t>
      </w:r>
      <w:proofErr w:type="spellStart"/>
      <w:r w:rsidR="00A77FEE">
        <w:rPr>
          <w:rFonts w:ascii="Verdana" w:hAnsi="Verdana"/>
          <w:bCs/>
          <w:sz w:val="24"/>
          <w:szCs w:val="24"/>
        </w:rPr>
        <w:t>lett</w:t>
      </w:r>
      <w:proofErr w:type="spellEnd"/>
      <w:r w:rsidR="00A77FEE">
        <w:rPr>
          <w:rFonts w:ascii="Verdana" w:hAnsi="Verdana"/>
          <w:bCs/>
          <w:sz w:val="24"/>
          <w:szCs w:val="24"/>
        </w:rPr>
        <w:t>.</w:t>
      </w:r>
      <w:r w:rsidR="002B4458">
        <w:rPr>
          <w:rFonts w:ascii="Verdana" w:hAnsi="Verdana"/>
          <w:bCs/>
          <w:sz w:val="24"/>
          <w:szCs w:val="24"/>
        </w:rPr>
        <w:t xml:space="preserve"> </w:t>
      </w:r>
      <w:r w:rsidR="00A77FEE">
        <w:rPr>
          <w:rFonts w:ascii="Verdana" w:hAnsi="Verdana"/>
          <w:bCs/>
          <w:sz w:val="24"/>
          <w:szCs w:val="24"/>
        </w:rPr>
        <w:t>b)</w:t>
      </w:r>
      <w:r w:rsidR="00D20DC3" w:rsidRPr="00D20DC3">
        <w:rPr>
          <w:rFonts w:ascii="Verdana" w:hAnsi="Verdana"/>
          <w:bCs/>
          <w:sz w:val="24"/>
          <w:szCs w:val="24"/>
        </w:rPr>
        <w:t xml:space="preserve">, </w:t>
      </w:r>
      <w:r w:rsidR="00A77FEE">
        <w:rPr>
          <w:rFonts w:ascii="Verdana" w:hAnsi="Verdana"/>
          <w:bCs/>
          <w:sz w:val="24"/>
          <w:szCs w:val="24"/>
        </w:rPr>
        <w:t xml:space="preserve">della stessa legge penitenziaria si limiterebbe a </w:t>
      </w:r>
      <w:r w:rsidR="00D20DC3" w:rsidRPr="00D20DC3">
        <w:rPr>
          <w:rFonts w:ascii="Verdana" w:hAnsi="Verdana"/>
          <w:bCs/>
          <w:sz w:val="24"/>
          <w:szCs w:val="24"/>
        </w:rPr>
        <w:t>identifica</w:t>
      </w:r>
      <w:r w:rsidR="00A77FEE">
        <w:rPr>
          <w:rFonts w:ascii="Verdana" w:hAnsi="Verdana"/>
          <w:bCs/>
          <w:sz w:val="24"/>
          <w:szCs w:val="24"/>
        </w:rPr>
        <w:t>re</w:t>
      </w:r>
      <w:r w:rsidR="00D20DC3" w:rsidRPr="00D20DC3">
        <w:rPr>
          <w:rFonts w:ascii="Verdana" w:hAnsi="Verdana"/>
          <w:bCs/>
          <w:sz w:val="24"/>
          <w:szCs w:val="24"/>
        </w:rPr>
        <w:t xml:space="preserve"> la </w:t>
      </w:r>
      <w:r w:rsidR="00A77FEE">
        <w:rPr>
          <w:rFonts w:ascii="Verdana" w:hAnsi="Verdana"/>
          <w:bCs/>
          <w:sz w:val="24"/>
          <w:szCs w:val="24"/>
        </w:rPr>
        <w:t xml:space="preserve">tipologia di tutela (cioè il reclamo in relazione alla violazione </w:t>
      </w:r>
      <w:r w:rsidR="00A77FEE" w:rsidRPr="00A77FEE">
        <w:rPr>
          <w:rFonts w:ascii="Verdana" w:hAnsi="Verdana"/>
          <w:bCs/>
          <w:sz w:val="24"/>
          <w:szCs w:val="24"/>
        </w:rPr>
        <w:t>dei diritti del soggetto detenuto</w:t>
      </w:r>
      <w:r w:rsidR="00A77FEE">
        <w:rPr>
          <w:rFonts w:ascii="Verdana" w:hAnsi="Verdana"/>
          <w:bCs/>
          <w:sz w:val="24"/>
          <w:szCs w:val="24"/>
        </w:rPr>
        <w:t xml:space="preserve">), </w:t>
      </w:r>
      <w:r w:rsidR="00A77FEE" w:rsidRPr="00A77FEE">
        <w:rPr>
          <w:rFonts w:ascii="Verdana" w:hAnsi="Verdana"/>
          <w:bCs/>
          <w:sz w:val="24"/>
          <w:szCs w:val="24"/>
        </w:rPr>
        <w:t xml:space="preserve">ma non </w:t>
      </w:r>
      <w:r w:rsidR="00A77FEE">
        <w:rPr>
          <w:rFonts w:ascii="Verdana" w:hAnsi="Verdana"/>
          <w:bCs/>
          <w:sz w:val="24"/>
          <w:szCs w:val="24"/>
        </w:rPr>
        <w:t xml:space="preserve">varrebbe anche a descrivere </w:t>
      </w:r>
      <w:r w:rsidR="00A77FEE" w:rsidRPr="00A77FEE">
        <w:rPr>
          <w:rFonts w:ascii="Verdana" w:hAnsi="Verdana"/>
          <w:bCs/>
          <w:sz w:val="24"/>
          <w:szCs w:val="24"/>
        </w:rPr>
        <w:t>le caratteristiche del</w:t>
      </w:r>
      <w:r w:rsidR="00A77FEE">
        <w:rPr>
          <w:rFonts w:ascii="Verdana" w:hAnsi="Verdana"/>
          <w:bCs/>
          <w:sz w:val="24"/>
          <w:szCs w:val="24"/>
        </w:rPr>
        <w:t xml:space="preserve"> relativo p</w:t>
      </w:r>
      <w:r w:rsidR="005931F6">
        <w:rPr>
          <w:rFonts w:ascii="Verdana" w:hAnsi="Verdana"/>
          <w:bCs/>
          <w:sz w:val="24"/>
          <w:szCs w:val="24"/>
        </w:rPr>
        <w:t xml:space="preserve">regiudizio </w:t>
      </w:r>
      <w:r w:rsidR="00A77FEE" w:rsidRPr="00A77FEE">
        <w:rPr>
          <w:rFonts w:ascii="Verdana" w:hAnsi="Verdana"/>
          <w:bCs/>
          <w:sz w:val="24"/>
          <w:szCs w:val="24"/>
        </w:rPr>
        <w:t>n</w:t>
      </w:r>
      <w:r w:rsidR="005931F6">
        <w:rPr>
          <w:rFonts w:ascii="Verdana" w:hAnsi="Verdana"/>
          <w:bCs/>
          <w:sz w:val="24"/>
          <w:szCs w:val="24"/>
        </w:rPr>
        <w:t>ei</w:t>
      </w:r>
      <w:r w:rsidR="00A77FEE" w:rsidRPr="00A77FEE">
        <w:rPr>
          <w:rFonts w:ascii="Verdana" w:hAnsi="Verdana"/>
          <w:bCs/>
          <w:sz w:val="24"/>
          <w:szCs w:val="24"/>
        </w:rPr>
        <w:t xml:space="preserve"> termini d</w:t>
      </w:r>
      <w:r w:rsidR="005931F6">
        <w:rPr>
          <w:rFonts w:ascii="Verdana" w:hAnsi="Verdana"/>
          <w:bCs/>
          <w:sz w:val="24"/>
          <w:szCs w:val="24"/>
        </w:rPr>
        <w:t>ella</w:t>
      </w:r>
      <w:r w:rsidR="00A77FEE" w:rsidRPr="00A77FEE">
        <w:rPr>
          <w:rFonts w:ascii="Verdana" w:hAnsi="Verdana"/>
          <w:bCs/>
          <w:sz w:val="24"/>
          <w:szCs w:val="24"/>
        </w:rPr>
        <w:t xml:space="preserve"> sua necessaria </w:t>
      </w:r>
      <w:r w:rsidR="00A77FEE">
        <w:rPr>
          <w:rFonts w:ascii="Verdana" w:hAnsi="Verdana"/>
          <w:bCs/>
          <w:sz w:val="24"/>
          <w:szCs w:val="24"/>
        </w:rPr>
        <w:t>“</w:t>
      </w:r>
      <w:r w:rsidR="00A77FEE" w:rsidRPr="00A77FEE">
        <w:rPr>
          <w:rFonts w:ascii="Verdana" w:hAnsi="Verdana"/>
          <w:bCs/>
          <w:sz w:val="24"/>
          <w:szCs w:val="24"/>
        </w:rPr>
        <w:t>attualità</w:t>
      </w:r>
      <w:r w:rsidR="00A77FEE">
        <w:rPr>
          <w:rFonts w:ascii="Verdana" w:hAnsi="Verdana"/>
          <w:bCs/>
          <w:sz w:val="24"/>
          <w:szCs w:val="24"/>
        </w:rPr>
        <w:t>”</w:t>
      </w:r>
      <w:r w:rsidR="00A77FEE" w:rsidRPr="00A77FEE">
        <w:rPr>
          <w:rFonts w:ascii="Verdana" w:hAnsi="Verdana"/>
          <w:bCs/>
          <w:sz w:val="24"/>
          <w:szCs w:val="24"/>
        </w:rPr>
        <w:t xml:space="preserve"> al momento della domanda stessa. La cognizione da parte del</w:t>
      </w:r>
      <w:r w:rsidR="00A77FEE">
        <w:rPr>
          <w:rFonts w:ascii="Verdana" w:hAnsi="Verdana"/>
          <w:bCs/>
          <w:sz w:val="24"/>
          <w:szCs w:val="24"/>
        </w:rPr>
        <w:t xml:space="preserve"> giudice di sorveglianza avrebbe, per conseguenza, </w:t>
      </w:r>
      <w:r w:rsidR="002B4458">
        <w:rPr>
          <w:rFonts w:ascii="Verdana" w:hAnsi="Verdana"/>
          <w:bCs/>
          <w:sz w:val="24"/>
          <w:szCs w:val="24"/>
        </w:rPr>
        <w:t xml:space="preserve">ad oggetto </w:t>
      </w:r>
      <w:r w:rsidR="005931F6">
        <w:rPr>
          <w:rFonts w:ascii="Verdana" w:hAnsi="Verdana"/>
          <w:bCs/>
          <w:sz w:val="24"/>
          <w:szCs w:val="24"/>
        </w:rPr>
        <w:t>i “fatti generatori”</w:t>
      </w:r>
      <w:r w:rsidR="00A77FEE" w:rsidRPr="00A77FEE">
        <w:rPr>
          <w:rFonts w:ascii="Verdana" w:hAnsi="Verdana"/>
          <w:bCs/>
          <w:sz w:val="24"/>
          <w:szCs w:val="24"/>
        </w:rPr>
        <w:t xml:space="preserve"> di una lamentata violazione</w:t>
      </w:r>
      <w:r w:rsidR="002B4458">
        <w:rPr>
          <w:rFonts w:ascii="Verdana" w:hAnsi="Verdana"/>
          <w:bCs/>
          <w:sz w:val="24"/>
          <w:szCs w:val="24"/>
        </w:rPr>
        <w:t xml:space="preserve"> </w:t>
      </w:r>
      <w:r w:rsidR="00A77FEE" w:rsidRPr="00A77FEE">
        <w:rPr>
          <w:rFonts w:ascii="Verdana" w:hAnsi="Verdana"/>
          <w:bCs/>
          <w:sz w:val="24"/>
          <w:szCs w:val="24"/>
        </w:rPr>
        <w:t xml:space="preserve">antecedente al momento della domanda </w:t>
      </w:r>
      <w:r w:rsidR="002B4458">
        <w:rPr>
          <w:rFonts w:ascii="Verdana" w:hAnsi="Verdana"/>
          <w:bCs/>
          <w:sz w:val="24"/>
          <w:szCs w:val="24"/>
        </w:rPr>
        <w:t xml:space="preserve">e </w:t>
      </w:r>
      <w:r w:rsidR="00A77FEE" w:rsidRPr="00A77FEE">
        <w:rPr>
          <w:rFonts w:ascii="Verdana" w:hAnsi="Verdana"/>
          <w:bCs/>
          <w:sz w:val="24"/>
          <w:szCs w:val="24"/>
        </w:rPr>
        <w:t xml:space="preserve">sempre che </w:t>
      </w:r>
      <w:r w:rsidR="002B4458">
        <w:rPr>
          <w:rFonts w:ascii="Verdana" w:hAnsi="Verdana"/>
          <w:bCs/>
          <w:sz w:val="24"/>
          <w:szCs w:val="24"/>
        </w:rPr>
        <w:t xml:space="preserve">perduri </w:t>
      </w:r>
      <w:r w:rsidR="00A77FEE" w:rsidRPr="00A77FEE">
        <w:rPr>
          <w:rFonts w:ascii="Verdana" w:hAnsi="Verdana"/>
          <w:bCs/>
          <w:sz w:val="24"/>
          <w:szCs w:val="24"/>
        </w:rPr>
        <w:t xml:space="preserve">l'esecuzione del medesimo </w:t>
      </w:r>
      <w:r w:rsidR="002B4458">
        <w:rPr>
          <w:rFonts w:ascii="Verdana" w:hAnsi="Verdana"/>
          <w:bCs/>
          <w:sz w:val="24"/>
          <w:szCs w:val="24"/>
        </w:rPr>
        <w:t xml:space="preserve">titolo </w:t>
      </w:r>
      <w:r w:rsidR="00A77FEE" w:rsidRPr="00A77FEE">
        <w:rPr>
          <w:rFonts w:ascii="Verdana" w:hAnsi="Verdana"/>
          <w:bCs/>
          <w:sz w:val="24"/>
          <w:szCs w:val="24"/>
        </w:rPr>
        <w:t>detentivo.</w:t>
      </w:r>
    </w:p>
    <w:p w:rsidR="00C42AE1" w:rsidRDefault="00C42AE1" w:rsidP="00C42AE1">
      <w:pPr>
        <w:pStyle w:val="Paragrafoelenco"/>
        <w:spacing w:after="0" w:line="360" w:lineRule="auto"/>
        <w:ind w:left="0"/>
        <w:jc w:val="both"/>
        <w:rPr>
          <w:rFonts w:ascii="Verdana" w:hAnsi="Verdana"/>
          <w:b/>
          <w:bCs/>
          <w:sz w:val="24"/>
          <w:szCs w:val="24"/>
        </w:rPr>
      </w:pPr>
    </w:p>
    <w:p w:rsidR="003C60F1" w:rsidRPr="003C60F1" w:rsidRDefault="000C253B" w:rsidP="00C42AE1">
      <w:pPr>
        <w:pStyle w:val="Paragrafoelenco"/>
        <w:numPr>
          <w:ilvl w:val="0"/>
          <w:numId w:val="2"/>
        </w:numPr>
        <w:spacing w:after="0" w:line="360" w:lineRule="auto"/>
        <w:jc w:val="both"/>
        <w:rPr>
          <w:rFonts w:ascii="Verdana" w:hAnsi="Verdana"/>
          <w:b/>
          <w:bCs/>
          <w:sz w:val="24"/>
          <w:szCs w:val="24"/>
        </w:rPr>
      </w:pPr>
      <w:r>
        <w:rPr>
          <w:rFonts w:ascii="Verdana" w:hAnsi="Verdana"/>
          <w:b/>
          <w:bCs/>
          <w:sz w:val="24"/>
          <w:szCs w:val="24"/>
        </w:rPr>
        <w:t xml:space="preserve">Una problematica dalla soluzione a </w:t>
      </w:r>
      <w:r w:rsidR="003C60F1" w:rsidRPr="003C60F1">
        <w:rPr>
          <w:rFonts w:ascii="Verdana" w:hAnsi="Verdana"/>
          <w:b/>
          <w:bCs/>
          <w:sz w:val="24"/>
          <w:szCs w:val="24"/>
        </w:rPr>
        <w:t>“</w:t>
      </w:r>
      <w:r>
        <w:rPr>
          <w:rFonts w:ascii="Verdana" w:hAnsi="Verdana"/>
          <w:b/>
          <w:bCs/>
          <w:sz w:val="24"/>
          <w:szCs w:val="24"/>
        </w:rPr>
        <w:t xml:space="preserve">rime </w:t>
      </w:r>
      <w:r w:rsidR="003C60F1" w:rsidRPr="003C60F1">
        <w:rPr>
          <w:rFonts w:ascii="Verdana" w:hAnsi="Verdana"/>
          <w:b/>
          <w:bCs/>
          <w:sz w:val="24"/>
          <w:szCs w:val="24"/>
        </w:rPr>
        <w:t>obbligat</w:t>
      </w:r>
      <w:r>
        <w:rPr>
          <w:rFonts w:ascii="Verdana" w:hAnsi="Verdana"/>
          <w:b/>
          <w:bCs/>
          <w:sz w:val="24"/>
          <w:szCs w:val="24"/>
        </w:rPr>
        <w:t>e</w:t>
      </w:r>
      <w:r w:rsidR="003C60F1" w:rsidRPr="003C60F1">
        <w:rPr>
          <w:rFonts w:ascii="Verdana" w:hAnsi="Verdana"/>
          <w:b/>
          <w:bCs/>
          <w:sz w:val="24"/>
          <w:szCs w:val="24"/>
        </w:rPr>
        <w:t xml:space="preserve">” </w:t>
      </w:r>
    </w:p>
    <w:p w:rsidR="00FD7CB6" w:rsidRDefault="003C60F1" w:rsidP="001A5E27">
      <w:pPr>
        <w:spacing w:after="0" w:line="360" w:lineRule="auto"/>
        <w:jc w:val="both"/>
        <w:rPr>
          <w:rFonts w:ascii="Verdana" w:hAnsi="Verdana"/>
          <w:bCs/>
          <w:sz w:val="24"/>
          <w:szCs w:val="24"/>
        </w:rPr>
      </w:pPr>
      <w:r>
        <w:rPr>
          <w:rFonts w:ascii="Verdana" w:hAnsi="Verdana"/>
          <w:bCs/>
          <w:sz w:val="24"/>
          <w:szCs w:val="24"/>
        </w:rPr>
        <w:t xml:space="preserve">L’interesse </w:t>
      </w:r>
      <w:r w:rsidR="004F7539">
        <w:rPr>
          <w:rFonts w:ascii="Verdana" w:hAnsi="Verdana"/>
          <w:bCs/>
          <w:sz w:val="24"/>
          <w:szCs w:val="24"/>
        </w:rPr>
        <w:t xml:space="preserve">per </w:t>
      </w:r>
      <w:r>
        <w:rPr>
          <w:rFonts w:ascii="Verdana" w:hAnsi="Verdana"/>
          <w:bCs/>
          <w:sz w:val="24"/>
          <w:szCs w:val="24"/>
        </w:rPr>
        <w:t xml:space="preserve">le due sentenze contestualmente contraddicentesi non risiede tanto </w:t>
      </w:r>
      <w:r w:rsidR="004F7539">
        <w:rPr>
          <w:rFonts w:ascii="Verdana" w:hAnsi="Verdana"/>
          <w:bCs/>
          <w:sz w:val="24"/>
          <w:szCs w:val="24"/>
        </w:rPr>
        <w:t>nel lor</w:t>
      </w:r>
      <w:r>
        <w:rPr>
          <w:rFonts w:ascii="Verdana" w:hAnsi="Verdana"/>
          <w:bCs/>
          <w:sz w:val="24"/>
          <w:szCs w:val="24"/>
        </w:rPr>
        <w:t xml:space="preserve">o </w:t>
      </w:r>
      <w:r w:rsidR="004F7539">
        <w:rPr>
          <w:rFonts w:ascii="Verdana" w:hAnsi="Verdana"/>
          <w:bCs/>
          <w:sz w:val="24"/>
          <w:szCs w:val="24"/>
        </w:rPr>
        <w:t xml:space="preserve">eclatante </w:t>
      </w:r>
      <w:r w:rsidR="00357962">
        <w:rPr>
          <w:rFonts w:ascii="Verdana" w:hAnsi="Verdana"/>
          <w:bCs/>
          <w:sz w:val="24"/>
          <w:szCs w:val="24"/>
        </w:rPr>
        <w:t>profilo di contraddittorietà</w:t>
      </w:r>
      <w:r w:rsidR="004F7539">
        <w:rPr>
          <w:rFonts w:ascii="Verdana" w:hAnsi="Verdana"/>
          <w:bCs/>
          <w:sz w:val="24"/>
          <w:szCs w:val="24"/>
        </w:rPr>
        <w:t xml:space="preserve"> (</w:t>
      </w:r>
      <w:r>
        <w:rPr>
          <w:rFonts w:ascii="Verdana" w:hAnsi="Verdana"/>
          <w:bCs/>
          <w:sz w:val="24"/>
          <w:szCs w:val="24"/>
        </w:rPr>
        <w:t>che</w:t>
      </w:r>
      <w:r w:rsidR="004F7539">
        <w:rPr>
          <w:rFonts w:ascii="Verdana" w:hAnsi="Verdana"/>
          <w:bCs/>
          <w:sz w:val="24"/>
          <w:szCs w:val="24"/>
        </w:rPr>
        <w:t>,</w:t>
      </w:r>
      <w:r>
        <w:rPr>
          <w:rFonts w:ascii="Verdana" w:hAnsi="Verdana"/>
          <w:bCs/>
          <w:sz w:val="24"/>
          <w:szCs w:val="24"/>
        </w:rPr>
        <w:t xml:space="preserve"> pure</w:t>
      </w:r>
      <w:r w:rsidR="004F7539">
        <w:rPr>
          <w:rFonts w:ascii="Verdana" w:hAnsi="Verdana"/>
          <w:bCs/>
          <w:sz w:val="24"/>
          <w:szCs w:val="24"/>
        </w:rPr>
        <w:t>,</w:t>
      </w:r>
      <w:r>
        <w:rPr>
          <w:rFonts w:ascii="Verdana" w:hAnsi="Verdana"/>
          <w:bCs/>
          <w:sz w:val="24"/>
          <w:szCs w:val="24"/>
        </w:rPr>
        <w:t xml:space="preserve"> qualche perplessità inevitabilmente suscita</w:t>
      </w:r>
      <w:r w:rsidR="004F7539">
        <w:rPr>
          <w:rFonts w:ascii="Verdana" w:hAnsi="Verdana"/>
          <w:bCs/>
          <w:sz w:val="24"/>
          <w:szCs w:val="24"/>
        </w:rPr>
        <w:t>)</w:t>
      </w:r>
      <w:r>
        <w:rPr>
          <w:rFonts w:ascii="Verdana" w:hAnsi="Verdana"/>
          <w:bCs/>
          <w:sz w:val="24"/>
          <w:szCs w:val="24"/>
        </w:rPr>
        <w:t xml:space="preserve">, quanto nella </w:t>
      </w:r>
      <w:r w:rsidR="000E3CDF">
        <w:rPr>
          <w:rFonts w:ascii="Verdana" w:hAnsi="Verdana"/>
          <w:bCs/>
          <w:sz w:val="24"/>
          <w:szCs w:val="24"/>
        </w:rPr>
        <w:t>evidenza, resa ancor più manifesta dalle pronunce in simultane</w:t>
      </w:r>
      <w:r w:rsidR="00357962">
        <w:rPr>
          <w:rFonts w:ascii="Verdana" w:hAnsi="Verdana"/>
          <w:bCs/>
          <w:sz w:val="24"/>
          <w:szCs w:val="24"/>
        </w:rPr>
        <w:t xml:space="preserve">o contrasto </w:t>
      </w:r>
      <w:r w:rsidR="000E3CDF">
        <w:rPr>
          <w:rFonts w:ascii="Verdana" w:hAnsi="Verdana"/>
          <w:bCs/>
          <w:sz w:val="24"/>
          <w:szCs w:val="24"/>
        </w:rPr>
        <w:t xml:space="preserve">qui in rassegna, di quel </w:t>
      </w:r>
      <w:r w:rsidR="000A394D">
        <w:rPr>
          <w:rFonts w:ascii="Verdana" w:hAnsi="Verdana"/>
          <w:bCs/>
          <w:sz w:val="24"/>
          <w:szCs w:val="24"/>
        </w:rPr>
        <w:lastRenderedPageBreak/>
        <w:t xml:space="preserve">ginepraio </w:t>
      </w:r>
      <w:r>
        <w:rPr>
          <w:rFonts w:ascii="Verdana" w:hAnsi="Verdana"/>
          <w:bCs/>
          <w:sz w:val="24"/>
          <w:szCs w:val="24"/>
        </w:rPr>
        <w:t>interpretativ</w:t>
      </w:r>
      <w:r w:rsidR="000A394D">
        <w:rPr>
          <w:rFonts w:ascii="Verdana" w:hAnsi="Verdana"/>
          <w:bCs/>
          <w:sz w:val="24"/>
          <w:szCs w:val="24"/>
        </w:rPr>
        <w:t>o</w:t>
      </w:r>
      <w:r>
        <w:rPr>
          <w:rFonts w:ascii="Verdana" w:hAnsi="Verdana"/>
          <w:bCs/>
          <w:sz w:val="24"/>
          <w:szCs w:val="24"/>
        </w:rPr>
        <w:t xml:space="preserve"> </w:t>
      </w:r>
      <w:r w:rsidR="009C37CB">
        <w:rPr>
          <w:rFonts w:ascii="Verdana" w:hAnsi="Verdana"/>
          <w:bCs/>
          <w:sz w:val="24"/>
          <w:szCs w:val="24"/>
        </w:rPr>
        <w:t xml:space="preserve">nato per </w:t>
      </w:r>
      <w:r w:rsidR="000A394D">
        <w:rPr>
          <w:rFonts w:ascii="Verdana" w:hAnsi="Verdana"/>
          <w:bCs/>
          <w:sz w:val="24"/>
          <w:szCs w:val="24"/>
        </w:rPr>
        <w:t xml:space="preserve">il deprecabile </w:t>
      </w:r>
      <w:proofErr w:type="spellStart"/>
      <w:r w:rsidR="000A394D" w:rsidRPr="000A394D">
        <w:rPr>
          <w:rFonts w:ascii="Verdana" w:hAnsi="Verdana"/>
          <w:bCs/>
          <w:i/>
          <w:sz w:val="24"/>
          <w:szCs w:val="24"/>
        </w:rPr>
        <w:t>drafting</w:t>
      </w:r>
      <w:proofErr w:type="spellEnd"/>
      <w:r w:rsidR="00A778F1">
        <w:rPr>
          <w:rStyle w:val="Rimandonotaapidipagina"/>
          <w:rFonts w:ascii="Verdana" w:hAnsi="Verdana"/>
          <w:bCs/>
          <w:i/>
          <w:sz w:val="24"/>
          <w:szCs w:val="24"/>
        </w:rPr>
        <w:footnoteReference w:id="12"/>
      </w:r>
      <w:r w:rsidR="00C42AE1">
        <w:rPr>
          <w:rFonts w:ascii="Verdana" w:hAnsi="Verdana"/>
          <w:bCs/>
          <w:sz w:val="24"/>
          <w:szCs w:val="24"/>
        </w:rPr>
        <w:t xml:space="preserve"> </w:t>
      </w:r>
      <w:r w:rsidR="000A394D">
        <w:rPr>
          <w:rFonts w:ascii="Verdana" w:hAnsi="Verdana"/>
          <w:bCs/>
          <w:sz w:val="24"/>
          <w:szCs w:val="24"/>
        </w:rPr>
        <w:t>legislat</w:t>
      </w:r>
      <w:r w:rsidR="00C42AE1">
        <w:rPr>
          <w:rFonts w:ascii="Verdana" w:hAnsi="Verdana"/>
          <w:bCs/>
          <w:sz w:val="24"/>
          <w:szCs w:val="24"/>
        </w:rPr>
        <w:t>ivo dispiegato</w:t>
      </w:r>
      <w:r w:rsidR="000A394D">
        <w:rPr>
          <w:rFonts w:ascii="Verdana" w:hAnsi="Verdana"/>
          <w:bCs/>
          <w:sz w:val="24"/>
          <w:szCs w:val="24"/>
        </w:rPr>
        <w:t xml:space="preserve"> nel modellare l</w:t>
      </w:r>
      <w:r w:rsidR="004F7539">
        <w:rPr>
          <w:rFonts w:ascii="Verdana" w:hAnsi="Verdana"/>
          <w:bCs/>
          <w:sz w:val="24"/>
          <w:szCs w:val="24"/>
        </w:rPr>
        <w:t>a di</w:t>
      </w:r>
      <w:r w:rsidR="00C42AE1">
        <w:rPr>
          <w:rFonts w:ascii="Verdana" w:hAnsi="Verdana"/>
          <w:bCs/>
          <w:sz w:val="24"/>
          <w:szCs w:val="24"/>
        </w:rPr>
        <w:t>zione d</w:t>
      </w:r>
      <w:r w:rsidR="004F7539">
        <w:rPr>
          <w:rFonts w:ascii="Verdana" w:hAnsi="Verdana"/>
          <w:bCs/>
          <w:sz w:val="24"/>
          <w:szCs w:val="24"/>
        </w:rPr>
        <w:t>e</w:t>
      </w:r>
      <w:r w:rsidR="000A394D">
        <w:rPr>
          <w:rFonts w:ascii="Verdana" w:hAnsi="Verdana"/>
          <w:bCs/>
          <w:sz w:val="24"/>
          <w:szCs w:val="24"/>
        </w:rPr>
        <w:t>ll’art.35-</w:t>
      </w:r>
      <w:r w:rsidR="000A394D" w:rsidRPr="000A394D">
        <w:rPr>
          <w:rFonts w:ascii="Verdana" w:hAnsi="Verdana"/>
          <w:bCs/>
          <w:i/>
          <w:sz w:val="24"/>
          <w:szCs w:val="24"/>
        </w:rPr>
        <w:t>ter</w:t>
      </w:r>
      <w:r w:rsidR="000A394D">
        <w:rPr>
          <w:rFonts w:ascii="Verdana" w:hAnsi="Verdana"/>
          <w:bCs/>
          <w:sz w:val="24"/>
          <w:szCs w:val="24"/>
        </w:rPr>
        <w:t xml:space="preserve">, </w:t>
      </w:r>
      <w:proofErr w:type="spellStart"/>
      <w:r w:rsidR="000A394D">
        <w:rPr>
          <w:rFonts w:ascii="Verdana" w:hAnsi="Verdana"/>
          <w:bCs/>
          <w:sz w:val="24"/>
          <w:szCs w:val="24"/>
        </w:rPr>
        <w:t>ord</w:t>
      </w:r>
      <w:proofErr w:type="spellEnd"/>
      <w:r w:rsidR="000A394D">
        <w:rPr>
          <w:rFonts w:ascii="Verdana" w:hAnsi="Verdana"/>
          <w:bCs/>
          <w:sz w:val="24"/>
          <w:szCs w:val="24"/>
        </w:rPr>
        <w:t xml:space="preserve">. </w:t>
      </w:r>
      <w:proofErr w:type="spellStart"/>
      <w:proofErr w:type="gramStart"/>
      <w:r w:rsidR="000A394D">
        <w:rPr>
          <w:rFonts w:ascii="Verdana" w:hAnsi="Verdana"/>
          <w:bCs/>
          <w:sz w:val="24"/>
          <w:szCs w:val="24"/>
        </w:rPr>
        <w:t>penit</w:t>
      </w:r>
      <w:proofErr w:type="spellEnd"/>
      <w:proofErr w:type="gramEnd"/>
      <w:r w:rsidR="000A394D">
        <w:rPr>
          <w:rFonts w:ascii="Verdana" w:hAnsi="Verdana"/>
          <w:bCs/>
          <w:sz w:val="24"/>
          <w:szCs w:val="24"/>
        </w:rPr>
        <w:t>.</w:t>
      </w:r>
      <w:r w:rsidR="000E3CDF">
        <w:rPr>
          <w:rFonts w:ascii="Verdana" w:hAnsi="Verdana"/>
          <w:bCs/>
          <w:sz w:val="24"/>
          <w:szCs w:val="24"/>
        </w:rPr>
        <w:t xml:space="preserve"> </w:t>
      </w:r>
    </w:p>
    <w:p w:rsidR="00FD7CB6" w:rsidRDefault="000E3CDF" w:rsidP="00FD7CB6">
      <w:pPr>
        <w:spacing w:after="0" w:line="360" w:lineRule="auto"/>
        <w:ind w:firstLine="708"/>
        <w:jc w:val="both"/>
        <w:rPr>
          <w:rFonts w:ascii="Verdana" w:hAnsi="Verdana"/>
          <w:bCs/>
          <w:sz w:val="24"/>
          <w:szCs w:val="24"/>
        </w:rPr>
      </w:pPr>
      <w:r>
        <w:rPr>
          <w:rFonts w:ascii="Verdana" w:hAnsi="Verdana"/>
          <w:bCs/>
          <w:sz w:val="24"/>
          <w:szCs w:val="24"/>
        </w:rPr>
        <w:t xml:space="preserve">In una prospettiva di risoluzione di quello che costituisce il nodo ermeneutico </w:t>
      </w:r>
      <w:r w:rsidR="004F7539">
        <w:rPr>
          <w:rFonts w:ascii="Verdana" w:hAnsi="Verdana"/>
          <w:bCs/>
          <w:sz w:val="24"/>
          <w:szCs w:val="24"/>
        </w:rPr>
        <w:t xml:space="preserve">forse </w:t>
      </w:r>
      <w:r>
        <w:rPr>
          <w:rFonts w:ascii="Verdana" w:hAnsi="Verdana"/>
          <w:bCs/>
          <w:sz w:val="24"/>
          <w:szCs w:val="24"/>
        </w:rPr>
        <w:t>più intricato (ma</w:t>
      </w:r>
      <w:r w:rsidR="004F7539">
        <w:rPr>
          <w:rFonts w:ascii="Verdana" w:hAnsi="Verdana"/>
          <w:bCs/>
          <w:sz w:val="24"/>
          <w:szCs w:val="24"/>
        </w:rPr>
        <w:t>,</w:t>
      </w:r>
      <w:r>
        <w:rPr>
          <w:rFonts w:ascii="Verdana" w:hAnsi="Verdana"/>
          <w:bCs/>
          <w:sz w:val="24"/>
          <w:szCs w:val="24"/>
        </w:rPr>
        <w:t xml:space="preserve"> purtroppo</w:t>
      </w:r>
      <w:r w:rsidR="004F7539">
        <w:rPr>
          <w:rFonts w:ascii="Verdana" w:hAnsi="Verdana"/>
          <w:bCs/>
          <w:sz w:val="24"/>
          <w:szCs w:val="24"/>
        </w:rPr>
        <w:t>,</w:t>
      </w:r>
      <w:r>
        <w:rPr>
          <w:rFonts w:ascii="Verdana" w:hAnsi="Verdana"/>
          <w:bCs/>
          <w:sz w:val="24"/>
          <w:szCs w:val="24"/>
        </w:rPr>
        <w:t xml:space="preserve"> non</w:t>
      </w:r>
      <w:r w:rsidR="009972B0">
        <w:rPr>
          <w:rFonts w:ascii="Verdana" w:hAnsi="Verdana"/>
          <w:bCs/>
          <w:sz w:val="24"/>
          <w:szCs w:val="24"/>
        </w:rPr>
        <w:t xml:space="preserve"> certo</w:t>
      </w:r>
      <w:r>
        <w:rPr>
          <w:rFonts w:ascii="Verdana" w:hAnsi="Verdana"/>
          <w:bCs/>
          <w:sz w:val="24"/>
          <w:szCs w:val="24"/>
        </w:rPr>
        <w:t xml:space="preserve"> l’unico) che inficia lo strumento di natura ris</w:t>
      </w:r>
      <w:r w:rsidR="00CF03DD">
        <w:rPr>
          <w:rFonts w:ascii="Verdana" w:hAnsi="Verdana"/>
          <w:bCs/>
          <w:sz w:val="24"/>
          <w:szCs w:val="24"/>
        </w:rPr>
        <w:t>arcitoria in esame</w:t>
      </w:r>
      <w:r w:rsidR="004F7539">
        <w:rPr>
          <w:rFonts w:ascii="Verdana" w:hAnsi="Verdana"/>
          <w:bCs/>
          <w:sz w:val="24"/>
          <w:szCs w:val="24"/>
        </w:rPr>
        <w:t>,</w:t>
      </w:r>
      <w:r w:rsidR="00CF03DD">
        <w:rPr>
          <w:rFonts w:ascii="Verdana" w:hAnsi="Verdana"/>
          <w:bCs/>
          <w:sz w:val="24"/>
          <w:szCs w:val="24"/>
        </w:rPr>
        <w:t xml:space="preserve"> </w:t>
      </w:r>
      <w:r>
        <w:rPr>
          <w:rFonts w:ascii="Verdana" w:hAnsi="Verdana"/>
          <w:bCs/>
          <w:sz w:val="24"/>
          <w:szCs w:val="24"/>
        </w:rPr>
        <w:t xml:space="preserve">gli spunti più promettenti vengono </w:t>
      </w:r>
      <w:r w:rsidR="009C37CB">
        <w:rPr>
          <w:rFonts w:ascii="Verdana" w:hAnsi="Verdana"/>
          <w:bCs/>
          <w:sz w:val="24"/>
          <w:szCs w:val="24"/>
        </w:rPr>
        <w:t xml:space="preserve">senza alcun dubbio </w:t>
      </w:r>
      <w:r>
        <w:rPr>
          <w:rFonts w:ascii="Verdana" w:hAnsi="Verdana"/>
          <w:bCs/>
          <w:sz w:val="24"/>
          <w:szCs w:val="24"/>
        </w:rPr>
        <w:t xml:space="preserve">dalla seconda pronuncia sopra </w:t>
      </w:r>
      <w:r w:rsidR="004F7539">
        <w:rPr>
          <w:rFonts w:ascii="Verdana" w:hAnsi="Verdana"/>
          <w:bCs/>
          <w:sz w:val="24"/>
          <w:szCs w:val="24"/>
        </w:rPr>
        <w:t>compendiata</w:t>
      </w:r>
      <w:r w:rsidR="00CF03DD">
        <w:rPr>
          <w:rFonts w:ascii="Verdana" w:hAnsi="Verdana"/>
          <w:bCs/>
          <w:sz w:val="24"/>
          <w:szCs w:val="24"/>
        </w:rPr>
        <w:t>: l</w:t>
      </w:r>
      <w:r>
        <w:rPr>
          <w:rFonts w:ascii="Verdana" w:hAnsi="Verdana"/>
          <w:bCs/>
          <w:sz w:val="24"/>
          <w:szCs w:val="24"/>
        </w:rPr>
        <w:t xml:space="preserve">a prima, infatti, si limita a leggere la norma per quello che essa esprime nel suo </w:t>
      </w:r>
      <w:r w:rsidR="00357962">
        <w:rPr>
          <w:rFonts w:ascii="Verdana" w:hAnsi="Verdana"/>
          <w:bCs/>
          <w:sz w:val="24"/>
          <w:szCs w:val="24"/>
        </w:rPr>
        <w:t>significato letterale</w:t>
      </w:r>
      <w:r>
        <w:rPr>
          <w:rFonts w:ascii="Verdana" w:hAnsi="Verdana"/>
          <w:bCs/>
          <w:sz w:val="24"/>
          <w:szCs w:val="24"/>
        </w:rPr>
        <w:t xml:space="preserve">. </w:t>
      </w:r>
      <w:r w:rsidRPr="000E3CDF">
        <w:rPr>
          <w:rFonts w:ascii="Verdana" w:hAnsi="Verdana"/>
          <w:bCs/>
          <w:i/>
          <w:sz w:val="24"/>
          <w:szCs w:val="24"/>
        </w:rPr>
        <w:t xml:space="preserve">In </w:t>
      </w:r>
      <w:proofErr w:type="spellStart"/>
      <w:r w:rsidRPr="000E3CDF">
        <w:rPr>
          <w:rFonts w:ascii="Verdana" w:hAnsi="Verdana"/>
          <w:bCs/>
          <w:i/>
          <w:sz w:val="24"/>
          <w:szCs w:val="24"/>
        </w:rPr>
        <w:t>claris</w:t>
      </w:r>
      <w:proofErr w:type="spellEnd"/>
      <w:r w:rsidRPr="000E3CDF">
        <w:rPr>
          <w:rFonts w:ascii="Verdana" w:hAnsi="Verdana"/>
          <w:bCs/>
          <w:i/>
          <w:sz w:val="24"/>
          <w:szCs w:val="24"/>
        </w:rPr>
        <w:t xml:space="preserve"> non </w:t>
      </w:r>
      <w:proofErr w:type="spellStart"/>
      <w:r w:rsidRPr="000E3CDF">
        <w:rPr>
          <w:rFonts w:ascii="Verdana" w:hAnsi="Verdana"/>
          <w:bCs/>
          <w:i/>
          <w:sz w:val="24"/>
          <w:szCs w:val="24"/>
        </w:rPr>
        <w:t>fit</w:t>
      </w:r>
      <w:proofErr w:type="spellEnd"/>
      <w:r w:rsidRPr="000E3CDF">
        <w:rPr>
          <w:rFonts w:ascii="Verdana" w:hAnsi="Verdana"/>
          <w:bCs/>
          <w:i/>
          <w:sz w:val="24"/>
          <w:szCs w:val="24"/>
        </w:rPr>
        <w:t xml:space="preserve"> </w:t>
      </w:r>
      <w:proofErr w:type="spellStart"/>
      <w:r w:rsidRPr="000E3CDF">
        <w:rPr>
          <w:rFonts w:ascii="Verdana" w:hAnsi="Verdana"/>
          <w:bCs/>
          <w:i/>
          <w:sz w:val="24"/>
          <w:szCs w:val="24"/>
        </w:rPr>
        <w:t>interpretatio</w:t>
      </w:r>
      <w:proofErr w:type="spellEnd"/>
      <w:r>
        <w:rPr>
          <w:rFonts w:ascii="Verdana" w:hAnsi="Verdana"/>
          <w:bCs/>
          <w:sz w:val="24"/>
          <w:szCs w:val="24"/>
        </w:rPr>
        <w:t xml:space="preserve"> </w:t>
      </w:r>
      <w:r w:rsidR="00CF03DD">
        <w:rPr>
          <w:rFonts w:ascii="Verdana" w:hAnsi="Verdana"/>
          <w:bCs/>
          <w:sz w:val="24"/>
          <w:szCs w:val="24"/>
        </w:rPr>
        <w:t>sembra</w:t>
      </w:r>
      <w:r w:rsidR="004F7539">
        <w:rPr>
          <w:rFonts w:ascii="Verdana" w:hAnsi="Verdana"/>
          <w:bCs/>
          <w:sz w:val="24"/>
          <w:szCs w:val="24"/>
        </w:rPr>
        <w:t>,</w:t>
      </w:r>
      <w:r w:rsidR="00CF03DD">
        <w:rPr>
          <w:rFonts w:ascii="Verdana" w:hAnsi="Verdana"/>
          <w:bCs/>
          <w:sz w:val="24"/>
          <w:szCs w:val="24"/>
        </w:rPr>
        <w:t xml:space="preserve"> infatti</w:t>
      </w:r>
      <w:r w:rsidR="004F7539">
        <w:rPr>
          <w:rFonts w:ascii="Verdana" w:hAnsi="Verdana"/>
          <w:bCs/>
          <w:sz w:val="24"/>
          <w:szCs w:val="24"/>
        </w:rPr>
        <w:t>,</w:t>
      </w:r>
      <w:r w:rsidR="00CF03DD">
        <w:rPr>
          <w:rFonts w:ascii="Verdana" w:hAnsi="Verdana"/>
          <w:bCs/>
          <w:sz w:val="24"/>
          <w:szCs w:val="24"/>
        </w:rPr>
        <w:t xml:space="preserve"> sottintendere il primo collegio, </w:t>
      </w:r>
      <w:r w:rsidR="004F7539">
        <w:rPr>
          <w:rFonts w:ascii="Verdana" w:hAnsi="Verdana"/>
          <w:bCs/>
          <w:sz w:val="24"/>
          <w:szCs w:val="24"/>
        </w:rPr>
        <w:t xml:space="preserve">senza ravvisare la necessità </w:t>
      </w:r>
      <w:r>
        <w:rPr>
          <w:rFonts w:ascii="Verdana" w:hAnsi="Verdana"/>
          <w:bCs/>
          <w:sz w:val="24"/>
          <w:szCs w:val="24"/>
        </w:rPr>
        <w:t>di spendere ulteriori parole per motivare un</w:t>
      </w:r>
      <w:r w:rsidR="004F7539">
        <w:rPr>
          <w:rFonts w:ascii="Verdana" w:hAnsi="Verdana"/>
          <w:bCs/>
          <w:sz w:val="24"/>
          <w:szCs w:val="24"/>
        </w:rPr>
        <w:t>’</w:t>
      </w:r>
      <w:r w:rsidR="00357962">
        <w:rPr>
          <w:rFonts w:ascii="Verdana" w:hAnsi="Verdana"/>
          <w:bCs/>
          <w:sz w:val="24"/>
          <w:szCs w:val="24"/>
        </w:rPr>
        <w:t xml:space="preserve">opzione interpretativa che </w:t>
      </w:r>
      <w:r w:rsidR="005872DC">
        <w:rPr>
          <w:rFonts w:ascii="Verdana" w:hAnsi="Verdana"/>
          <w:bCs/>
          <w:sz w:val="24"/>
          <w:szCs w:val="24"/>
        </w:rPr>
        <w:t>emergere</w:t>
      </w:r>
      <w:r w:rsidR="009C37CB">
        <w:rPr>
          <w:rFonts w:ascii="Verdana" w:hAnsi="Verdana"/>
          <w:bCs/>
          <w:sz w:val="24"/>
          <w:szCs w:val="24"/>
        </w:rPr>
        <w:t>bbe</w:t>
      </w:r>
      <w:r w:rsidR="005872DC">
        <w:rPr>
          <w:rFonts w:ascii="Verdana" w:hAnsi="Verdana"/>
          <w:bCs/>
          <w:sz w:val="24"/>
          <w:szCs w:val="24"/>
        </w:rPr>
        <w:t xml:space="preserve"> in modo </w:t>
      </w:r>
      <w:proofErr w:type="spellStart"/>
      <w:r w:rsidR="005872DC">
        <w:rPr>
          <w:rFonts w:ascii="Verdana" w:hAnsi="Verdana"/>
          <w:bCs/>
          <w:sz w:val="24"/>
          <w:szCs w:val="24"/>
        </w:rPr>
        <w:t>autoevidente</w:t>
      </w:r>
      <w:proofErr w:type="spellEnd"/>
      <w:r w:rsidR="005872DC">
        <w:rPr>
          <w:rFonts w:ascii="Verdana" w:hAnsi="Verdana"/>
          <w:bCs/>
          <w:sz w:val="24"/>
          <w:szCs w:val="24"/>
        </w:rPr>
        <w:t xml:space="preserve"> dalla di</w:t>
      </w:r>
      <w:r w:rsidR="001E3647">
        <w:rPr>
          <w:rFonts w:ascii="Verdana" w:hAnsi="Verdana"/>
          <w:bCs/>
          <w:sz w:val="24"/>
          <w:szCs w:val="24"/>
        </w:rPr>
        <w:t>sposizione</w:t>
      </w:r>
      <w:r w:rsidR="005872DC">
        <w:rPr>
          <w:rFonts w:ascii="Verdana" w:hAnsi="Verdana"/>
          <w:bCs/>
          <w:sz w:val="24"/>
          <w:szCs w:val="24"/>
        </w:rPr>
        <w:t xml:space="preserve"> normativa</w:t>
      </w:r>
      <w:r w:rsidR="00357962">
        <w:rPr>
          <w:rFonts w:ascii="Verdana" w:hAnsi="Verdana"/>
          <w:bCs/>
          <w:sz w:val="24"/>
          <w:szCs w:val="24"/>
        </w:rPr>
        <w:t xml:space="preserve">. </w:t>
      </w:r>
    </w:p>
    <w:p w:rsidR="001E3647" w:rsidRDefault="00357962" w:rsidP="005872DC">
      <w:pPr>
        <w:spacing w:after="0" w:line="360" w:lineRule="auto"/>
        <w:ind w:firstLine="708"/>
        <w:jc w:val="both"/>
        <w:rPr>
          <w:rFonts w:ascii="Verdana" w:hAnsi="Verdana"/>
          <w:bCs/>
          <w:sz w:val="24"/>
          <w:szCs w:val="24"/>
        </w:rPr>
      </w:pPr>
      <w:r>
        <w:rPr>
          <w:rFonts w:ascii="Verdana" w:hAnsi="Verdana"/>
          <w:bCs/>
          <w:sz w:val="24"/>
          <w:szCs w:val="24"/>
        </w:rPr>
        <w:t xml:space="preserve">Ma </w:t>
      </w:r>
      <w:r w:rsidR="005872DC">
        <w:rPr>
          <w:rFonts w:ascii="Verdana" w:hAnsi="Verdana"/>
          <w:bCs/>
          <w:sz w:val="24"/>
          <w:szCs w:val="24"/>
        </w:rPr>
        <w:t xml:space="preserve">– paradossalmente - </w:t>
      </w:r>
      <w:r>
        <w:rPr>
          <w:rFonts w:ascii="Verdana" w:hAnsi="Verdana"/>
          <w:bCs/>
          <w:sz w:val="24"/>
          <w:szCs w:val="24"/>
        </w:rPr>
        <w:t>sta tutta qui la genesi della questione sorta in relazione alla problematica dell’ “attualità del pregiudizio</w:t>
      </w:r>
      <w:r w:rsidR="00CF03DD">
        <w:rPr>
          <w:rFonts w:ascii="Verdana" w:hAnsi="Verdana"/>
          <w:bCs/>
          <w:sz w:val="24"/>
          <w:szCs w:val="24"/>
        </w:rPr>
        <w:t>”</w:t>
      </w:r>
      <w:r w:rsidR="00AC1C47">
        <w:rPr>
          <w:rFonts w:ascii="Verdana" w:hAnsi="Verdana"/>
          <w:bCs/>
          <w:sz w:val="24"/>
          <w:szCs w:val="24"/>
        </w:rPr>
        <w:t xml:space="preserve">: </w:t>
      </w:r>
      <w:r>
        <w:rPr>
          <w:rFonts w:ascii="Verdana" w:hAnsi="Verdana"/>
          <w:bCs/>
          <w:sz w:val="24"/>
          <w:szCs w:val="24"/>
        </w:rPr>
        <w:t>una dizione letterale che lascia po</w:t>
      </w:r>
      <w:r w:rsidR="005872DC">
        <w:rPr>
          <w:rFonts w:ascii="Verdana" w:hAnsi="Verdana"/>
          <w:bCs/>
          <w:sz w:val="24"/>
          <w:szCs w:val="24"/>
        </w:rPr>
        <w:t>co spazio a letture alternative c</w:t>
      </w:r>
      <w:r>
        <w:rPr>
          <w:rFonts w:ascii="Verdana" w:hAnsi="Verdana"/>
          <w:bCs/>
          <w:sz w:val="24"/>
          <w:szCs w:val="24"/>
        </w:rPr>
        <w:t xml:space="preserve">he, </w:t>
      </w:r>
      <w:r w:rsidR="005872DC">
        <w:rPr>
          <w:rFonts w:ascii="Verdana" w:hAnsi="Verdana"/>
          <w:bCs/>
          <w:sz w:val="24"/>
          <w:szCs w:val="24"/>
        </w:rPr>
        <w:t xml:space="preserve">molto probabilmente, </w:t>
      </w:r>
      <w:r>
        <w:rPr>
          <w:rFonts w:ascii="Verdana" w:hAnsi="Verdana"/>
          <w:bCs/>
          <w:sz w:val="24"/>
          <w:szCs w:val="24"/>
        </w:rPr>
        <w:t xml:space="preserve">non sarebbero mai state affacciate se la prima e più immediata esegesi non si fosse palesata foriera di </w:t>
      </w:r>
      <w:r w:rsidR="005872DC">
        <w:rPr>
          <w:rFonts w:ascii="Verdana" w:hAnsi="Verdana"/>
          <w:bCs/>
          <w:sz w:val="24"/>
          <w:szCs w:val="24"/>
        </w:rPr>
        <w:t xml:space="preserve">ricadute applicative </w:t>
      </w:r>
      <w:r>
        <w:rPr>
          <w:rFonts w:ascii="Verdana" w:hAnsi="Verdana"/>
          <w:bCs/>
          <w:sz w:val="24"/>
          <w:szCs w:val="24"/>
        </w:rPr>
        <w:t xml:space="preserve">esiziali non solo per l’intrinseca funzionalità dell’istituto di matrice europea </w:t>
      </w:r>
      <w:r w:rsidR="00FE0349">
        <w:rPr>
          <w:rFonts w:ascii="Verdana" w:hAnsi="Verdana"/>
          <w:bCs/>
          <w:sz w:val="24"/>
          <w:szCs w:val="24"/>
        </w:rPr>
        <w:t>in esame</w:t>
      </w:r>
      <w:r w:rsidR="00CF03DD">
        <w:rPr>
          <w:rFonts w:ascii="Verdana" w:hAnsi="Verdana"/>
          <w:bCs/>
          <w:sz w:val="24"/>
          <w:szCs w:val="24"/>
        </w:rPr>
        <w:t>, ma per la stessa posizione dell’Italia di fronte alla Corte europea di Strasburgo</w:t>
      </w:r>
      <w:r w:rsidR="00FE0349">
        <w:rPr>
          <w:rFonts w:ascii="Verdana" w:hAnsi="Verdana"/>
          <w:bCs/>
          <w:sz w:val="24"/>
          <w:szCs w:val="24"/>
        </w:rPr>
        <w:t>.</w:t>
      </w:r>
      <w:r w:rsidR="00CF03DD">
        <w:rPr>
          <w:rFonts w:ascii="Verdana" w:hAnsi="Verdana"/>
          <w:bCs/>
          <w:sz w:val="24"/>
          <w:szCs w:val="24"/>
        </w:rPr>
        <w:t xml:space="preserve"> </w:t>
      </w:r>
    </w:p>
    <w:p w:rsidR="00CD49D0" w:rsidRDefault="00C71D09" w:rsidP="005872DC">
      <w:pPr>
        <w:spacing w:after="0" w:line="360" w:lineRule="auto"/>
        <w:ind w:firstLine="708"/>
        <w:jc w:val="both"/>
        <w:rPr>
          <w:rFonts w:ascii="Verdana" w:hAnsi="Verdana"/>
          <w:bCs/>
          <w:sz w:val="24"/>
          <w:szCs w:val="24"/>
        </w:rPr>
      </w:pPr>
      <w:r>
        <w:rPr>
          <w:rFonts w:ascii="Verdana" w:hAnsi="Verdana"/>
          <w:bCs/>
          <w:sz w:val="24"/>
          <w:szCs w:val="24"/>
        </w:rPr>
        <w:t xml:space="preserve">L’indirizzo </w:t>
      </w:r>
      <w:r w:rsidR="00357962" w:rsidRPr="00357962">
        <w:rPr>
          <w:rFonts w:ascii="Verdana" w:hAnsi="Verdana"/>
          <w:bCs/>
          <w:sz w:val="24"/>
          <w:szCs w:val="24"/>
        </w:rPr>
        <w:t>che individua nel requisito dell</w:t>
      </w:r>
      <w:proofErr w:type="gramStart"/>
      <w:r w:rsidR="00357962" w:rsidRPr="00357962">
        <w:rPr>
          <w:rFonts w:ascii="Verdana" w:hAnsi="Verdana"/>
          <w:bCs/>
          <w:sz w:val="24"/>
          <w:szCs w:val="24"/>
        </w:rPr>
        <w:t>’“</w:t>
      </w:r>
      <w:proofErr w:type="gramEnd"/>
      <w:r w:rsidR="00357962" w:rsidRPr="00357962">
        <w:rPr>
          <w:rFonts w:ascii="Verdana" w:hAnsi="Verdana"/>
          <w:bCs/>
          <w:sz w:val="24"/>
          <w:szCs w:val="24"/>
        </w:rPr>
        <w:t>attualità” del pregiudizio subìto il discrimine tra la competenza del magistrato di sorveglianza e quella del giudice civile</w:t>
      </w:r>
      <w:r w:rsidR="00CF03DD">
        <w:rPr>
          <w:rFonts w:ascii="Verdana" w:hAnsi="Verdana"/>
          <w:bCs/>
          <w:sz w:val="24"/>
          <w:szCs w:val="24"/>
        </w:rPr>
        <w:t>, infatti,</w:t>
      </w:r>
      <w:r w:rsidR="00357962" w:rsidRPr="00357962">
        <w:rPr>
          <w:rFonts w:ascii="Verdana" w:hAnsi="Verdana"/>
          <w:bCs/>
          <w:sz w:val="24"/>
          <w:szCs w:val="24"/>
        </w:rPr>
        <w:t xml:space="preserve"> comporterebbe, </w:t>
      </w:r>
      <w:r w:rsidR="000C253B">
        <w:rPr>
          <w:rFonts w:ascii="Verdana" w:hAnsi="Verdana"/>
          <w:bCs/>
          <w:sz w:val="24"/>
          <w:szCs w:val="24"/>
        </w:rPr>
        <w:t>con tutta probabilità</w:t>
      </w:r>
      <w:r>
        <w:rPr>
          <w:rFonts w:ascii="Verdana" w:hAnsi="Verdana"/>
          <w:bCs/>
          <w:sz w:val="24"/>
          <w:szCs w:val="24"/>
        </w:rPr>
        <w:t xml:space="preserve">, </w:t>
      </w:r>
      <w:r w:rsidR="00357962" w:rsidRPr="00357962">
        <w:rPr>
          <w:rFonts w:ascii="Verdana" w:hAnsi="Verdana"/>
          <w:bCs/>
          <w:sz w:val="24"/>
          <w:szCs w:val="24"/>
        </w:rPr>
        <w:t>l’</w:t>
      </w:r>
      <w:r w:rsidR="000C253B">
        <w:rPr>
          <w:rFonts w:ascii="Verdana" w:hAnsi="Verdana"/>
          <w:bCs/>
          <w:sz w:val="24"/>
          <w:szCs w:val="24"/>
        </w:rPr>
        <w:t xml:space="preserve">orientarsi </w:t>
      </w:r>
      <w:r w:rsidR="00357962" w:rsidRPr="00357962">
        <w:rPr>
          <w:rFonts w:ascii="Verdana" w:hAnsi="Verdana"/>
          <w:bCs/>
          <w:sz w:val="24"/>
          <w:szCs w:val="24"/>
        </w:rPr>
        <w:t>de</w:t>
      </w:r>
      <w:r>
        <w:rPr>
          <w:rFonts w:ascii="Verdana" w:hAnsi="Verdana"/>
          <w:bCs/>
          <w:sz w:val="24"/>
          <w:szCs w:val="24"/>
        </w:rPr>
        <w:t>l flusso della domanda r</w:t>
      </w:r>
      <w:r w:rsidR="00357962" w:rsidRPr="00357962">
        <w:rPr>
          <w:rFonts w:ascii="Verdana" w:hAnsi="Verdana"/>
          <w:bCs/>
          <w:sz w:val="24"/>
          <w:szCs w:val="24"/>
        </w:rPr>
        <w:t>isarci</w:t>
      </w:r>
      <w:r>
        <w:rPr>
          <w:rFonts w:ascii="Verdana" w:hAnsi="Verdana"/>
          <w:bCs/>
          <w:sz w:val="24"/>
          <w:szCs w:val="24"/>
        </w:rPr>
        <w:t xml:space="preserve">toria verso le forme di </w:t>
      </w:r>
      <w:r w:rsidR="00357962" w:rsidRPr="00357962">
        <w:rPr>
          <w:rFonts w:ascii="Verdana" w:hAnsi="Verdana"/>
          <w:bCs/>
          <w:sz w:val="24"/>
          <w:szCs w:val="24"/>
        </w:rPr>
        <w:t>ristoro pecuniario “tradizionale” di fr</w:t>
      </w:r>
      <w:r w:rsidR="00D15230">
        <w:rPr>
          <w:rFonts w:ascii="Verdana" w:hAnsi="Verdana"/>
          <w:bCs/>
          <w:sz w:val="24"/>
          <w:szCs w:val="24"/>
        </w:rPr>
        <w:t>o</w:t>
      </w:r>
      <w:r w:rsidR="00357962" w:rsidRPr="00357962">
        <w:rPr>
          <w:rFonts w:ascii="Verdana" w:hAnsi="Verdana"/>
          <w:bCs/>
          <w:sz w:val="24"/>
          <w:szCs w:val="24"/>
        </w:rPr>
        <w:t>nte al giudice civile</w:t>
      </w:r>
      <w:r w:rsidR="000C253B">
        <w:rPr>
          <w:rFonts w:ascii="Verdana" w:hAnsi="Verdana"/>
          <w:bCs/>
          <w:sz w:val="24"/>
          <w:szCs w:val="24"/>
        </w:rPr>
        <w:t>:</w:t>
      </w:r>
      <w:r w:rsidR="00357962" w:rsidRPr="00357962">
        <w:rPr>
          <w:rFonts w:ascii="Verdana" w:hAnsi="Verdana"/>
          <w:bCs/>
          <w:sz w:val="24"/>
          <w:szCs w:val="24"/>
        </w:rPr>
        <w:t xml:space="preserve"> s</w:t>
      </w:r>
      <w:r>
        <w:rPr>
          <w:rFonts w:ascii="Verdana" w:hAnsi="Verdana"/>
          <w:bCs/>
          <w:sz w:val="24"/>
          <w:szCs w:val="24"/>
        </w:rPr>
        <w:t>cenario</w:t>
      </w:r>
      <w:r w:rsidR="000C253B">
        <w:rPr>
          <w:rFonts w:ascii="Verdana" w:hAnsi="Verdana"/>
          <w:bCs/>
          <w:sz w:val="24"/>
          <w:szCs w:val="24"/>
        </w:rPr>
        <w:t>,</w:t>
      </w:r>
      <w:r>
        <w:rPr>
          <w:rFonts w:ascii="Verdana" w:hAnsi="Verdana"/>
          <w:bCs/>
          <w:sz w:val="24"/>
          <w:szCs w:val="24"/>
        </w:rPr>
        <w:t xml:space="preserve"> quest’ultimo</w:t>
      </w:r>
      <w:r w:rsidR="000C253B">
        <w:rPr>
          <w:rFonts w:ascii="Verdana" w:hAnsi="Verdana"/>
          <w:bCs/>
          <w:sz w:val="24"/>
          <w:szCs w:val="24"/>
        </w:rPr>
        <w:t>,</w:t>
      </w:r>
      <w:r w:rsidR="00357962" w:rsidRPr="00357962">
        <w:rPr>
          <w:rFonts w:ascii="Verdana" w:hAnsi="Verdana"/>
          <w:bCs/>
          <w:sz w:val="24"/>
          <w:szCs w:val="24"/>
        </w:rPr>
        <w:t xml:space="preserve"> che la Corte </w:t>
      </w:r>
      <w:proofErr w:type="spellStart"/>
      <w:r w:rsidR="00357962" w:rsidRPr="00357962">
        <w:rPr>
          <w:rFonts w:ascii="Verdana" w:hAnsi="Verdana"/>
          <w:bCs/>
          <w:sz w:val="24"/>
          <w:szCs w:val="24"/>
        </w:rPr>
        <w:t>edu</w:t>
      </w:r>
      <w:proofErr w:type="spellEnd"/>
      <w:r w:rsidR="00357962" w:rsidRPr="00357962">
        <w:rPr>
          <w:rFonts w:ascii="Verdana" w:hAnsi="Verdana"/>
          <w:bCs/>
          <w:sz w:val="24"/>
          <w:szCs w:val="24"/>
        </w:rPr>
        <w:t xml:space="preserve"> ha già ritenuto non </w:t>
      </w:r>
      <w:r>
        <w:rPr>
          <w:rFonts w:ascii="Verdana" w:hAnsi="Verdana"/>
          <w:bCs/>
          <w:sz w:val="24"/>
          <w:szCs w:val="24"/>
        </w:rPr>
        <w:t>garantire l’</w:t>
      </w:r>
      <w:r w:rsidR="00357962" w:rsidRPr="00357962">
        <w:rPr>
          <w:rFonts w:ascii="Verdana" w:hAnsi="Verdana"/>
          <w:bCs/>
          <w:sz w:val="24"/>
          <w:szCs w:val="24"/>
        </w:rPr>
        <w:t>effettiv</w:t>
      </w:r>
      <w:r>
        <w:rPr>
          <w:rFonts w:ascii="Verdana" w:hAnsi="Verdana"/>
          <w:bCs/>
          <w:sz w:val="24"/>
          <w:szCs w:val="24"/>
        </w:rPr>
        <w:t>ità della tutela</w:t>
      </w:r>
      <w:r w:rsidR="00357962" w:rsidRPr="00357962">
        <w:rPr>
          <w:rFonts w:ascii="Verdana" w:hAnsi="Verdana"/>
          <w:bCs/>
          <w:sz w:val="24"/>
          <w:szCs w:val="24"/>
        </w:rPr>
        <w:t xml:space="preserve">. </w:t>
      </w:r>
    </w:p>
    <w:p w:rsidR="005872DC" w:rsidRPr="00093E8C" w:rsidRDefault="001E3647" w:rsidP="005872DC">
      <w:pPr>
        <w:spacing w:after="0" w:line="360" w:lineRule="auto"/>
        <w:ind w:firstLine="708"/>
        <w:jc w:val="both"/>
        <w:rPr>
          <w:rFonts w:ascii="Verdana" w:hAnsi="Verdana"/>
          <w:sz w:val="24"/>
          <w:szCs w:val="24"/>
        </w:rPr>
      </w:pPr>
      <w:r>
        <w:rPr>
          <w:rFonts w:ascii="Verdana" w:hAnsi="Verdana"/>
          <w:bCs/>
          <w:sz w:val="24"/>
          <w:szCs w:val="24"/>
        </w:rPr>
        <w:t>In altri termini, senza una proattiva operazione di rimodulazione della norma da parte del giudice</w:t>
      </w:r>
      <w:r w:rsidR="008E2CB0">
        <w:rPr>
          <w:rFonts w:ascii="Verdana" w:hAnsi="Verdana"/>
          <w:bCs/>
          <w:sz w:val="24"/>
          <w:szCs w:val="24"/>
        </w:rPr>
        <w:t>-interprete</w:t>
      </w:r>
      <w:r>
        <w:rPr>
          <w:rFonts w:ascii="Verdana" w:hAnsi="Verdana"/>
          <w:bCs/>
          <w:sz w:val="24"/>
          <w:szCs w:val="24"/>
        </w:rPr>
        <w:t>, s</w:t>
      </w:r>
      <w:r w:rsidR="00C71D09">
        <w:rPr>
          <w:rFonts w:ascii="Verdana" w:hAnsi="Verdana"/>
          <w:bCs/>
          <w:sz w:val="24"/>
          <w:szCs w:val="24"/>
        </w:rPr>
        <w:t xml:space="preserve">arebbe </w:t>
      </w:r>
      <w:r w:rsidR="00357962" w:rsidRPr="00357962">
        <w:rPr>
          <w:rFonts w:ascii="Verdana" w:hAnsi="Verdana"/>
          <w:bCs/>
          <w:sz w:val="24"/>
          <w:szCs w:val="24"/>
        </w:rPr>
        <w:t xml:space="preserve">concreto il rischio che la Corte di Strasburgo - particolarmente sensibile al profilo della effettività della tutela giurisdizionale che gli ordinamenti interni devono assicurare ai diritti tutelati dalla Convenzione </w:t>
      </w:r>
      <w:proofErr w:type="spellStart"/>
      <w:r w:rsidR="00357962" w:rsidRPr="00357962">
        <w:rPr>
          <w:rFonts w:ascii="Verdana" w:hAnsi="Verdana"/>
          <w:bCs/>
          <w:sz w:val="24"/>
          <w:szCs w:val="24"/>
        </w:rPr>
        <w:t>edu</w:t>
      </w:r>
      <w:proofErr w:type="spellEnd"/>
      <w:r w:rsidR="00357962" w:rsidRPr="00357962">
        <w:rPr>
          <w:rFonts w:ascii="Verdana" w:hAnsi="Verdana"/>
          <w:bCs/>
          <w:sz w:val="24"/>
          <w:szCs w:val="24"/>
        </w:rPr>
        <w:t xml:space="preserve"> – ri</w:t>
      </w:r>
      <w:r w:rsidR="00C71D09">
        <w:rPr>
          <w:rFonts w:ascii="Verdana" w:hAnsi="Verdana"/>
          <w:bCs/>
          <w:sz w:val="24"/>
          <w:szCs w:val="24"/>
        </w:rPr>
        <w:t xml:space="preserve">prenda in mano il </w:t>
      </w:r>
      <w:r w:rsidR="00C71D09" w:rsidRPr="00C71D09">
        <w:rPr>
          <w:rFonts w:ascii="Verdana" w:hAnsi="Verdana"/>
          <w:bCs/>
          <w:i/>
          <w:sz w:val="24"/>
          <w:szCs w:val="24"/>
        </w:rPr>
        <w:t>dossier</w:t>
      </w:r>
      <w:r w:rsidR="00C71D09">
        <w:rPr>
          <w:rFonts w:ascii="Verdana" w:hAnsi="Verdana"/>
          <w:bCs/>
          <w:sz w:val="24"/>
          <w:szCs w:val="24"/>
        </w:rPr>
        <w:t xml:space="preserve"> </w:t>
      </w:r>
      <w:r w:rsidR="00357962" w:rsidRPr="00357962">
        <w:rPr>
          <w:rFonts w:ascii="Verdana" w:hAnsi="Verdana"/>
          <w:bCs/>
          <w:sz w:val="24"/>
          <w:szCs w:val="24"/>
        </w:rPr>
        <w:t>italian</w:t>
      </w:r>
      <w:r w:rsidR="00CD49D0">
        <w:rPr>
          <w:rFonts w:ascii="Verdana" w:hAnsi="Verdana"/>
          <w:bCs/>
          <w:sz w:val="24"/>
          <w:szCs w:val="24"/>
        </w:rPr>
        <w:t xml:space="preserve">o qualora </w:t>
      </w:r>
      <w:r w:rsidR="009972B0">
        <w:rPr>
          <w:rFonts w:ascii="Verdana" w:hAnsi="Verdana"/>
          <w:bCs/>
          <w:sz w:val="24"/>
          <w:szCs w:val="24"/>
        </w:rPr>
        <w:t xml:space="preserve">l’organismo </w:t>
      </w:r>
      <w:r w:rsidR="00357962" w:rsidRPr="00357962">
        <w:rPr>
          <w:rFonts w:ascii="Verdana" w:hAnsi="Verdana"/>
          <w:bCs/>
          <w:sz w:val="24"/>
          <w:szCs w:val="24"/>
        </w:rPr>
        <w:t xml:space="preserve"> </w:t>
      </w:r>
      <w:r w:rsidR="00357962" w:rsidRPr="00357962">
        <w:rPr>
          <w:rFonts w:ascii="Verdana" w:hAnsi="Verdana"/>
          <w:bCs/>
          <w:sz w:val="24"/>
          <w:szCs w:val="24"/>
        </w:rPr>
        <w:lastRenderedPageBreak/>
        <w:t>europeo</w:t>
      </w:r>
      <w:r w:rsidR="009972B0">
        <w:rPr>
          <w:rFonts w:ascii="Verdana" w:hAnsi="Verdana"/>
          <w:bCs/>
          <w:sz w:val="24"/>
          <w:szCs w:val="24"/>
        </w:rPr>
        <w:t xml:space="preserve"> incaricato della v</w:t>
      </w:r>
      <w:r w:rsidR="00357962" w:rsidRPr="00357962">
        <w:rPr>
          <w:rFonts w:ascii="Verdana" w:hAnsi="Verdana"/>
          <w:bCs/>
          <w:sz w:val="24"/>
          <w:szCs w:val="24"/>
        </w:rPr>
        <w:t>erifica dell</w:t>
      </w:r>
      <w:r w:rsidR="009972B0">
        <w:rPr>
          <w:rFonts w:ascii="Verdana" w:hAnsi="Verdana"/>
          <w:bCs/>
          <w:sz w:val="24"/>
          <w:szCs w:val="24"/>
        </w:rPr>
        <w:t xml:space="preserve">a puntuale </w:t>
      </w:r>
      <w:r w:rsidR="00357962" w:rsidRPr="00357962">
        <w:rPr>
          <w:rFonts w:ascii="Verdana" w:hAnsi="Verdana"/>
          <w:bCs/>
          <w:sz w:val="24"/>
          <w:szCs w:val="24"/>
        </w:rPr>
        <w:t xml:space="preserve">ottemperanza dell’Italia alle prescrizioni della sentenza </w:t>
      </w:r>
      <w:proofErr w:type="spellStart"/>
      <w:r w:rsidR="00357962" w:rsidRPr="00357962">
        <w:rPr>
          <w:rFonts w:ascii="Verdana" w:hAnsi="Verdana"/>
          <w:bCs/>
          <w:i/>
          <w:sz w:val="24"/>
          <w:szCs w:val="24"/>
        </w:rPr>
        <w:t>Torreggiani</w:t>
      </w:r>
      <w:proofErr w:type="spellEnd"/>
      <w:r w:rsidR="00357962" w:rsidRPr="00357962">
        <w:rPr>
          <w:rFonts w:ascii="Verdana" w:hAnsi="Verdana"/>
          <w:bCs/>
          <w:sz w:val="24"/>
          <w:szCs w:val="24"/>
        </w:rPr>
        <w:t xml:space="preserve">, </w:t>
      </w:r>
      <w:r w:rsidR="009972B0">
        <w:rPr>
          <w:rFonts w:ascii="Verdana" w:hAnsi="Verdana"/>
          <w:bCs/>
          <w:sz w:val="24"/>
          <w:szCs w:val="24"/>
        </w:rPr>
        <w:t>bolli</w:t>
      </w:r>
      <w:r w:rsidR="00357962" w:rsidRPr="00357962">
        <w:rPr>
          <w:rFonts w:ascii="Verdana" w:hAnsi="Verdana"/>
          <w:bCs/>
          <w:sz w:val="24"/>
          <w:szCs w:val="24"/>
        </w:rPr>
        <w:t xml:space="preserve"> come “</w:t>
      </w:r>
      <w:proofErr w:type="spellStart"/>
      <w:r w:rsidR="00357962" w:rsidRPr="00357962">
        <w:rPr>
          <w:rFonts w:ascii="Verdana" w:hAnsi="Verdana"/>
          <w:bCs/>
          <w:sz w:val="24"/>
          <w:szCs w:val="24"/>
        </w:rPr>
        <w:t>ineffettivo</w:t>
      </w:r>
      <w:proofErr w:type="spellEnd"/>
      <w:r w:rsidR="00357962" w:rsidRPr="00357962">
        <w:rPr>
          <w:rFonts w:ascii="Verdana" w:hAnsi="Verdana"/>
          <w:bCs/>
          <w:sz w:val="24"/>
          <w:szCs w:val="24"/>
        </w:rPr>
        <w:t>” il rimedio risarcitorio introdotto con l’art.35-</w:t>
      </w:r>
      <w:r w:rsidR="00357962" w:rsidRPr="00357962">
        <w:rPr>
          <w:rFonts w:ascii="Verdana" w:hAnsi="Verdana"/>
          <w:bCs/>
          <w:i/>
          <w:sz w:val="24"/>
          <w:szCs w:val="24"/>
        </w:rPr>
        <w:t>ter,</w:t>
      </w:r>
      <w:r w:rsidR="00357962" w:rsidRPr="00357962">
        <w:rPr>
          <w:rFonts w:ascii="Verdana" w:hAnsi="Verdana"/>
          <w:bCs/>
          <w:sz w:val="24"/>
          <w:szCs w:val="24"/>
        </w:rPr>
        <w:t xml:space="preserve"> </w:t>
      </w:r>
      <w:proofErr w:type="spellStart"/>
      <w:r w:rsidR="00357962" w:rsidRPr="00357962">
        <w:rPr>
          <w:rFonts w:ascii="Verdana" w:hAnsi="Verdana"/>
          <w:bCs/>
          <w:sz w:val="24"/>
          <w:szCs w:val="24"/>
        </w:rPr>
        <w:t>ord</w:t>
      </w:r>
      <w:proofErr w:type="spellEnd"/>
      <w:r w:rsidR="00357962" w:rsidRPr="00357962">
        <w:rPr>
          <w:rFonts w:ascii="Verdana" w:hAnsi="Verdana"/>
          <w:bCs/>
          <w:sz w:val="24"/>
          <w:szCs w:val="24"/>
        </w:rPr>
        <w:t xml:space="preserve">. </w:t>
      </w:r>
      <w:proofErr w:type="spellStart"/>
      <w:proofErr w:type="gramStart"/>
      <w:r w:rsidR="00357962" w:rsidRPr="00357962">
        <w:rPr>
          <w:rFonts w:ascii="Verdana" w:hAnsi="Verdana"/>
          <w:bCs/>
          <w:sz w:val="24"/>
          <w:szCs w:val="24"/>
        </w:rPr>
        <w:t>penit</w:t>
      </w:r>
      <w:proofErr w:type="spellEnd"/>
      <w:proofErr w:type="gramEnd"/>
      <w:r w:rsidR="00357962" w:rsidRPr="00357962">
        <w:rPr>
          <w:rFonts w:ascii="Verdana" w:hAnsi="Verdana"/>
          <w:bCs/>
          <w:sz w:val="24"/>
          <w:szCs w:val="24"/>
        </w:rPr>
        <w:t>.</w:t>
      </w:r>
      <w:r w:rsidR="005872DC">
        <w:rPr>
          <w:rStyle w:val="Rimandonotaapidipagina"/>
          <w:rFonts w:ascii="Verdana" w:hAnsi="Verdana"/>
          <w:sz w:val="24"/>
          <w:szCs w:val="24"/>
        </w:rPr>
        <w:footnoteReference w:id="13"/>
      </w:r>
      <w:r w:rsidR="005872DC" w:rsidRPr="00093E8C">
        <w:rPr>
          <w:rFonts w:ascii="Verdana" w:hAnsi="Verdana"/>
          <w:sz w:val="24"/>
          <w:szCs w:val="24"/>
        </w:rPr>
        <w:t xml:space="preserve"> </w:t>
      </w:r>
    </w:p>
    <w:p w:rsidR="009972B0" w:rsidRDefault="00357962" w:rsidP="00FD7CB6">
      <w:pPr>
        <w:spacing w:after="0" w:line="360" w:lineRule="auto"/>
        <w:ind w:firstLine="708"/>
        <w:jc w:val="both"/>
        <w:rPr>
          <w:rFonts w:ascii="Verdana" w:hAnsi="Verdana"/>
          <w:bCs/>
          <w:sz w:val="24"/>
          <w:szCs w:val="24"/>
        </w:rPr>
      </w:pPr>
      <w:r w:rsidRPr="00357962">
        <w:rPr>
          <w:rFonts w:ascii="Verdana" w:hAnsi="Verdana"/>
          <w:bCs/>
          <w:sz w:val="24"/>
          <w:szCs w:val="24"/>
        </w:rPr>
        <w:t xml:space="preserve"> </w:t>
      </w:r>
      <w:r w:rsidR="00BE2F61">
        <w:rPr>
          <w:rFonts w:ascii="Verdana" w:hAnsi="Verdana"/>
          <w:bCs/>
          <w:sz w:val="24"/>
          <w:szCs w:val="24"/>
        </w:rPr>
        <w:t>Di fronte a un simile</w:t>
      </w:r>
      <w:r w:rsidR="009972B0">
        <w:rPr>
          <w:rFonts w:ascii="Verdana" w:hAnsi="Verdana"/>
          <w:bCs/>
          <w:sz w:val="24"/>
          <w:szCs w:val="24"/>
        </w:rPr>
        <w:t>, non accettabile,</w:t>
      </w:r>
      <w:r w:rsidR="00BE2F61">
        <w:rPr>
          <w:rFonts w:ascii="Verdana" w:hAnsi="Verdana"/>
          <w:bCs/>
          <w:sz w:val="24"/>
          <w:szCs w:val="24"/>
        </w:rPr>
        <w:t xml:space="preserve"> rischio residua</w:t>
      </w:r>
      <w:r w:rsidRPr="00357962">
        <w:rPr>
          <w:rFonts w:ascii="Verdana" w:hAnsi="Verdana"/>
          <w:bCs/>
          <w:sz w:val="24"/>
          <w:szCs w:val="24"/>
        </w:rPr>
        <w:t xml:space="preserve">, </w:t>
      </w:r>
      <w:r w:rsidR="00BE2F61">
        <w:rPr>
          <w:rFonts w:ascii="Verdana" w:hAnsi="Verdana"/>
          <w:bCs/>
          <w:sz w:val="24"/>
          <w:szCs w:val="24"/>
        </w:rPr>
        <w:t>in definitiva</w:t>
      </w:r>
      <w:r w:rsidRPr="00357962">
        <w:rPr>
          <w:rFonts w:ascii="Verdana" w:hAnsi="Verdana"/>
          <w:bCs/>
          <w:sz w:val="24"/>
          <w:szCs w:val="24"/>
        </w:rPr>
        <w:t xml:space="preserve">, come unica strada possibile, l’adozione di una </w:t>
      </w:r>
      <w:r w:rsidR="009972B0">
        <w:rPr>
          <w:rFonts w:ascii="Verdana" w:hAnsi="Verdana"/>
          <w:bCs/>
          <w:sz w:val="24"/>
          <w:szCs w:val="24"/>
        </w:rPr>
        <w:t xml:space="preserve">lettura interpretativa della </w:t>
      </w:r>
      <w:proofErr w:type="gramStart"/>
      <w:r w:rsidR="009972B0">
        <w:rPr>
          <w:rFonts w:ascii="Verdana" w:hAnsi="Verdana"/>
          <w:bCs/>
          <w:sz w:val="24"/>
          <w:szCs w:val="24"/>
        </w:rPr>
        <w:t xml:space="preserve">disciplina  </w:t>
      </w:r>
      <w:r w:rsidRPr="00357962">
        <w:rPr>
          <w:rFonts w:ascii="Verdana" w:hAnsi="Verdana"/>
          <w:bCs/>
          <w:sz w:val="24"/>
          <w:szCs w:val="24"/>
        </w:rPr>
        <w:t>del</w:t>
      </w:r>
      <w:proofErr w:type="gramEnd"/>
      <w:r w:rsidRPr="00357962">
        <w:rPr>
          <w:rFonts w:ascii="Verdana" w:hAnsi="Verdana"/>
          <w:bCs/>
          <w:sz w:val="24"/>
          <w:szCs w:val="24"/>
        </w:rPr>
        <w:t xml:space="preserve"> modello compensativo </w:t>
      </w:r>
      <w:r w:rsidR="005872DC">
        <w:rPr>
          <w:rFonts w:ascii="Verdana" w:hAnsi="Verdana"/>
          <w:bCs/>
          <w:sz w:val="24"/>
          <w:szCs w:val="24"/>
        </w:rPr>
        <w:t xml:space="preserve">che </w:t>
      </w:r>
      <w:r w:rsidR="001E3647">
        <w:rPr>
          <w:rFonts w:ascii="Verdana" w:hAnsi="Verdana"/>
          <w:bCs/>
          <w:sz w:val="24"/>
          <w:szCs w:val="24"/>
        </w:rPr>
        <w:t xml:space="preserve">non </w:t>
      </w:r>
      <w:r w:rsidR="005872DC">
        <w:rPr>
          <w:rFonts w:ascii="Verdana" w:hAnsi="Verdana"/>
          <w:bCs/>
          <w:sz w:val="24"/>
          <w:szCs w:val="24"/>
        </w:rPr>
        <w:t xml:space="preserve">ne </w:t>
      </w:r>
      <w:r w:rsidR="001E3647">
        <w:rPr>
          <w:rFonts w:ascii="Verdana" w:hAnsi="Verdana"/>
          <w:bCs/>
          <w:sz w:val="24"/>
          <w:szCs w:val="24"/>
        </w:rPr>
        <w:t>vanifichi</w:t>
      </w:r>
      <w:r w:rsidRPr="00357962">
        <w:rPr>
          <w:rFonts w:ascii="Verdana" w:hAnsi="Verdana"/>
          <w:bCs/>
          <w:sz w:val="24"/>
          <w:szCs w:val="24"/>
        </w:rPr>
        <w:t xml:space="preserve"> </w:t>
      </w:r>
      <w:r w:rsidR="005872DC">
        <w:rPr>
          <w:rFonts w:ascii="Verdana" w:hAnsi="Verdana"/>
          <w:bCs/>
          <w:sz w:val="24"/>
          <w:szCs w:val="24"/>
        </w:rPr>
        <w:t>l</w:t>
      </w:r>
      <w:r w:rsidRPr="00357962">
        <w:rPr>
          <w:rFonts w:ascii="Verdana" w:hAnsi="Verdana"/>
          <w:bCs/>
          <w:sz w:val="24"/>
          <w:szCs w:val="24"/>
        </w:rPr>
        <w:t xml:space="preserve">a pratica effettività, </w:t>
      </w:r>
      <w:r w:rsidR="009972B0">
        <w:rPr>
          <w:rFonts w:ascii="Verdana" w:hAnsi="Verdana"/>
          <w:bCs/>
          <w:sz w:val="24"/>
          <w:szCs w:val="24"/>
        </w:rPr>
        <w:t>intervenendo ortopedicamente su</w:t>
      </w:r>
      <w:r w:rsidRPr="00357962">
        <w:rPr>
          <w:rFonts w:ascii="Verdana" w:hAnsi="Verdana"/>
          <w:bCs/>
          <w:sz w:val="24"/>
          <w:szCs w:val="24"/>
        </w:rPr>
        <w:t xml:space="preserve"> quella che, </w:t>
      </w:r>
      <w:r w:rsidR="00CD49D0">
        <w:rPr>
          <w:rFonts w:ascii="Verdana" w:hAnsi="Verdana"/>
          <w:bCs/>
          <w:sz w:val="24"/>
          <w:szCs w:val="24"/>
        </w:rPr>
        <w:t>con ben pochi margini di dubbio,</w:t>
      </w:r>
      <w:r w:rsidRPr="00357962">
        <w:rPr>
          <w:rFonts w:ascii="Verdana" w:hAnsi="Verdana"/>
          <w:bCs/>
          <w:sz w:val="24"/>
          <w:szCs w:val="24"/>
        </w:rPr>
        <w:t xml:space="preserve"> appare l’oggettiva </w:t>
      </w:r>
      <w:proofErr w:type="spellStart"/>
      <w:r w:rsidRPr="00357962">
        <w:rPr>
          <w:rFonts w:ascii="Verdana" w:hAnsi="Verdana"/>
          <w:bCs/>
          <w:i/>
          <w:sz w:val="24"/>
          <w:szCs w:val="24"/>
        </w:rPr>
        <w:t>volu</w:t>
      </w:r>
      <w:r w:rsidR="00D15230">
        <w:rPr>
          <w:rFonts w:ascii="Verdana" w:hAnsi="Verdana"/>
          <w:bCs/>
          <w:i/>
          <w:sz w:val="24"/>
          <w:szCs w:val="24"/>
        </w:rPr>
        <w:t>n</w:t>
      </w:r>
      <w:r w:rsidRPr="00357962">
        <w:rPr>
          <w:rFonts w:ascii="Verdana" w:hAnsi="Verdana"/>
          <w:bCs/>
          <w:i/>
          <w:sz w:val="24"/>
          <w:szCs w:val="24"/>
        </w:rPr>
        <w:t>tas</w:t>
      </w:r>
      <w:proofErr w:type="spellEnd"/>
      <w:r w:rsidRPr="00357962">
        <w:rPr>
          <w:rFonts w:ascii="Verdana" w:hAnsi="Verdana"/>
          <w:bCs/>
          <w:i/>
          <w:sz w:val="24"/>
          <w:szCs w:val="24"/>
        </w:rPr>
        <w:t xml:space="preserve"> </w:t>
      </w:r>
      <w:proofErr w:type="spellStart"/>
      <w:r w:rsidRPr="00357962">
        <w:rPr>
          <w:rFonts w:ascii="Verdana" w:hAnsi="Verdana"/>
          <w:bCs/>
          <w:i/>
          <w:sz w:val="24"/>
          <w:szCs w:val="24"/>
        </w:rPr>
        <w:t>legis</w:t>
      </w:r>
      <w:proofErr w:type="spellEnd"/>
      <w:r w:rsidRPr="00357962">
        <w:rPr>
          <w:rFonts w:ascii="Verdana" w:hAnsi="Verdana"/>
          <w:bCs/>
          <w:sz w:val="24"/>
          <w:szCs w:val="24"/>
        </w:rPr>
        <w:t xml:space="preserve"> </w:t>
      </w:r>
      <w:r w:rsidR="00BE2F61">
        <w:rPr>
          <w:rFonts w:ascii="Verdana" w:hAnsi="Verdana"/>
          <w:bCs/>
          <w:sz w:val="24"/>
          <w:szCs w:val="24"/>
        </w:rPr>
        <w:t xml:space="preserve">(che non </w:t>
      </w:r>
      <w:r w:rsidR="00D90DC1">
        <w:rPr>
          <w:rFonts w:ascii="Verdana" w:hAnsi="Verdana"/>
          <w:bCs/>
          <w:sz w:val="24"/>
          <w:szCs w:val="24"/>
        </w:rPr>
        <w:t>si identifica n</w:t>
      </w:r>
      <w:r w:rsidR="00BE2F61">
        <w:rPr>
          <w:rFonts w:ascii="Verdana" w:hAnsi="Verdana"/>
          <w:bCs/>
          <w:sz w:val="24"/>
          <w:szCs w:val="24"/>
        </w:rPr>
        <w:t xml:space="preserve">ecessariamente </w:t>
      </w:r>
      <w:r w:rsidR="00D90DC1">
        <w:rPr>
          <w:rFonts w:ascii="Verdana" w:hAnsi="Verdana"/>
          <w:bCs/>
          <w:sz w:val="24"/>
          <w:szCs w:val="24"/>
        </w:rPr>
        <w:t xml:space="preserve">con </w:t>
      </w:r>
      <w:r w:rsidR="00BE2F61">
        <w:rPr>
          <w:rFonts w:ascii="Verdana" w:hAnsi="Verdana"/>
          <w:bCs/>
          <w:sz w:val="24"/>
          <w:szCs w:val="24"/>
        </w:rPr>
        <w:t xml:space="preserve">la </w:t>
      </w:r>
      <w:proofErr w:type="spellStart"/>
      <w:r w:rsidR="00BE2F61" w:rsidRPr="00BE2F61">
        <w:rPr>
          <w:rFonts w:ascii="Verdana" w:hAnsi="Verdana"/>
          <w:bCs/>
          <w:i/>
          <w:sz w:val="24"/>
          <w:szCs w:val="24"/>
        </w:rPr>
        <w:t>voluntas</w:t>
      </w:r>
      <w:proofErr w:type="spellEnd"/>
      <w:r w:rsidR="00BE2F61" w:rsidRPr="00BE2F61">
        <w:rPr>
          <w:rFonts w:ascii="Verdana" w:hAnsi="Verdana"/>
          <w:bCs/>
          <w:i/>
          <w:sz w:val="24"/>
          <w:szCs w:val="24"/>
        </w:rPr>
        <w:t xml:space="preserve"> </w:t>
      </w:r>
      <w:proofErr w:type="spellStart"/>
      <w:r w:rsidR="00BE2F61" w:rsidRPr="00BE2F61">
        <w:rPr>
          <w:rFonts w:ascii="Verdana" w:hAnsi="Verdana"/>
          <w:bCs/>
          <w:i/>
          <w:sz w:val="24"/>
          <w:szCs w:val="24"/>
        </w:rPr>
        <w:t>legislatoris</w:t>
      </w:r>
      <w:proofErr w:type="spellEnd"/>
      <w:r w:rsidR="00BE2F61">
        <w:rPr>
          <w:rFonts w:ascii="Verdana" w:hAnsi="Verdana"/>
          <w:bCs/>
          <w:sz w:val="24"/>
          <w:szCs w:val="24"/>
        </w:rPr>
        <w:t xml:space="preserve">) </w:t>
      </w:r>
      <w:r w:rsidR="00CD49D0">
        <w:rPr>
          <w:rFonts w:ascii="Verdana" w:hAnsi="Verdana"/>
          <w:bCs/>
          <w:sz w:val="24"/>
          <w:szCs w:val="24"/>
        </w:rPr>
        <w:t xml:space="preserve">desunta </w:t>
      </w:r>
      <w:r w:rsidRPr="00357962">
        <w:rPr>
          <w:rFonts w:ascii="Verdana" w:hAnsi="Verdana"/>
          <w:bCs/>
          <w:sz w:val="24"/>
          <w:szCs w:val="24"/>
        </w:rPr>
        <w:t xml:space="preserve">sulla base dell’interpretazione </w:t>
      </w:r>
      <w:r w:rsidR="00CD49D0">
        <w:rPr>
          <w:rFonts w:ascii="Verdana" w:hAnsi="Verdana"/>
          <w:bCs/>
          <w:sz w:val="24"/>
          <w:szCs w:val="24"/>
        </w:rPr>
        <w:t xml:space="preserve">più immediata </w:t>
      </w:r>
      <w:r w:rsidRPr="00357962">
        <w:rPr>
          <w:rFonts w:ascii="Verdana" w:hAnsi="Verdana"/>
          <w:bCs/>
          <w:sz w:val="24"/>
          <w:szCs w:val="24"/>
        </w:rPr>
        <w:t xml:space="preserve">della dizione normativa. </w:t>
      </w:r>
    </w:p>
    <w:p w:rsidR="00FD7CB6" w:rsidRDefault="00C71D09" w:rsidP="00FD7CB6">
      <w:pPr>
        <w:spacing w:after="0" w:line="360" w:lineRule="auto"/>
        <w:ind w:firstLine="708"/>
        <w:jc w:val="both"/>
        <w:rPr>
          <w:rFonts w:ascii="Verdana" w:hAnsi="Verdana"/>
          <w:bCs/>
          <w:sz w:val="24"/>
          <w:szCs w:val="24"/>
        </w:rPr>
      </w:pPr>
      <w:r>
        <w:rPr>
          <w:rFonts w:ascii="Verdana" w:hAnsi="Verdana"/>
          <w:bCs/>
          <w:sz w:val="24"/>
          <w:szCs w:val="24"/>
        </w:rPr>
        <w:t>Se tale soluzione</w:t>
      </w:r>
      <w:r w:rsidR="00CD49D0">
        <w:rPr>
          <w:rFonts w:ascii="Verdana" w:hAnsi="Verdana"/>
          <w:bCs/>
          <w:sz w:val="24"/>
          <w:szCs w:val="24"/>
        </w:rPr>
        <w:t xml:space="preserve"> </w:t>
      </w:r>
      <w:r w:rsidR="001E3647">
        <w:rPr>
          <w:rFonts w:ascii="Verdana" w:hAnsi="Verdana"/>
          <w:bCs/>
          <w:sz w:val="24"/>
          <w:szCs w:val="24"/>
        </w:rPr>
        <w:t>risulta</w:t>
      </w:r>
      <w:r w:rsidR="00D90DC1">
        <w:rPr>
          <w:rFonts w:ascii="Verdana" w:hAnsi="Verdana"/>
          <w:bCs/>
          <w:sz w:val="24"/>
          <w:szCs w:val="24"/>
        </w:rPr>
        <w:t>,</w:t>
      </w:r>
      <w:r w:rsidR="001E3647">
        <w:rPr>
          <w:rFonts w:ascii="Verdana" w:hAnsi="Verdana"/>
          <w:bCs/>
          <w:sz w:val="24"/>
          <w:szCs w:val="24"/>
        </w:rPr>
        <w:t xml:space="preserve"> quindi</w:t>
      </w:r>
      <w:r w:rsidR="00D90DC1">
        <w:rPr>
          <w:rFonts w:ascii="Verdana" w:hAnsi="Verdana"/>
          <w:bCs/>
          <w:sz w:val="24"/>
          <w:szCs w:val="24"/>
        </w:rPr>
        <w:t>,</w:t>
      </w:r>
      <w:r>
        <w:rPr>
          <w:rFonts w:ascii="Verdana" w:hAnsi="Verdana"/>
          <w:bCs/>
          <w:sz w:val="24"/>
          <w:szCs w:val="24"/>
        </w:rPr>
        <w:t xml:space="preserve"> </w:t>
      </w:r>
      <w:r w:rsidR="00D90DC1">
        <w:rPr>
          <w:rFonts w:ascii="Verdana" w:hAnsi="Verdana"/>
          <w:bCs/>
          <w:sz w:val="24"/>
          <w:szCs w:val="24"/>
        </w:rPr>
        <w:t xml:space="preserve">sostanzialmente </w:t>
      </w:r>
      <w:r>
        <w:rPr>
          <w:rFonts w:ascii="Verdana" w:hAnsi="Verdana"/>
          <w:bCs/>
          <w:sz w:val="24"/>
          <w:szCs w:val="24"/>
        </w:rPr>
        <w:t>“obbligata”</w:t>
      </w:r>
      <w:r w:rsidR="00CD49D0">
        <w:rPr>
          <w:rFonts w:ascii="Verdana" w:hAnsi="Verdana"/>
          <w:bCs/>
          <w:sz w:val="24"/>
          <w:szCs w:val="24"/>
        </w:rPr>
        <w:t xml:space="preserve"> alla stregua delle considerazioni che precedono, nient’affatto secondari</w:t>
      </w:r>
      <w:r w:rsidR="001E3647">
        <w:rPr>
          <w:rFonts w:ascii="Verdana" w:hAnsi="Verdana"/>
          <w:bCs/>
          <w:sz w:val="24"/>
          <w:szCs w:val="24"/>
        </w:rPr>
        <w:t>o è il profilo del</w:t>
      </w:r>
      <w:r w:rsidR="00CD49D0">
        <w:rPr>
          <w:rFonts w:ascii="Verdana" w:hAnsi="Verdana"/>
          <w:bCs/>
          <w:sz w:val="24"/>
          <w:szCs w:val="24"/>
        </w:rPr>
        <w:t>la s</w:t>
      </w:r>
      <w:r w:rsidR="001E3647">
        <w:rPr>
          <w:rFonts w:ascii="Verdana" w:hAnsi="Verdana"/>
          <w:bCs/>
          <w:sz w:val="24"/>
          <w:szCs w:val="24"/>
        </w:rPr>
        <w:t xml:space="preserve">elezione </w:t>
      </w:r>
      <w:r w:rsidR="00CD49D0">
        <w:rPr>
          <w:rFonts w:ascii="Verdana" w:hAnsi="Verdana"/>
          <w:bCs/>
          <w:sz w:val="24"/>
          <w:szCs w:val="24"/>
        </w:rPr>
        <w:t>degli argomenti p</w:t>
      </w:r>
      <w:r w:rsidR="00BE2F61">
        <w:rPr>
          <w:rFonts w:ascii="Verdana" w:hAnsi="Verdana"/>
          <w:bCs/>
          <w:sz w:val="24"/>
          <w:szCs w:val="24"/>
        </w:rPr>
        <w:t xml:space="preserve">er </w:t>
      </w:r>
      <w:r w:rsidR="00CD49D0">
        <w:rPr>
          <w:rFonts w:ascii="Verdana" w:hAnsi="Verdana"/>
          <w:bCs/>
          <w:sz w:val="24"/>
          <w:szCs w:val="24"/>
        </w:rPr>
        <w:t>sostenere un tale</w:t>
      </w:r>
      <w:r w:rsidR="00BE2F61">
        <w:rPr>
          <w:rFonts w:ascii="Verdana" w:hAnsi="Verdana"/>
          <w:bCs/>
          <w:sz w:val="24"/>
          <w:szCs w:val="24"/>
        </w:rPr>
        <w:t xml:space="preserve"> </w:t>
      </w:r>
      <w:r w:rsidR="00CD49D0">
        <w:rPr>
          <w:rFonts w:ascii="Verdana" w:hAnsi="Verdana"/>
          <w:bCs/>
          <w:sz w:val="24"/>
          <w:szCs w:val="24"/>
        </w:rPr>
        <w:t>approdo interpretativo</w:t>
      </w:r>
      <w:r w:rsidR="00787AE9">
        <w:rPr>
          <w:rFonts w:ascii="Verdana" w:hAnsi="Verdana"/>
          <w:bCs/>
          <w:sz w:val="24"/>
          <w:szCs w:val="24"/>
        </w:rPr>
        <w:t xml:space="preserve">, che dovrebbe esercitare una </w:t>
      </w:r>
      <w:r w:rsidR="00787AE9" w:rsidRPr="00787AE9">
        <w:rPr>
          <w:rFonts w:ascii="Verdana" w:hAnsi="Verdana"/>
          <w:bCs/>
          <w:i/>
          <w:sz w:val="24"/>
          <w:szCs w:val="24"/>
        </w:rPr>
        <w:t>moral suasion</w:t>
      </w:r>
      <w:r w:rsidR="00787AE9">
        <w:rPr>
          <w:rFonts w:ascii="Verdana" w:hAnsi="Verdana"/>
          <w:bCs/>
          <w:sz w:val="24"/>
          <w:szCs w:val="24"/>
        </w:rPr>
        <w:t xml:space="preserve"> decisiva nell’orientare la prassi applicativa in senso coerente con l’esigenza di assicurare al “rimedio compensativo” </w:t>
      </w:r>
      <w:r w:rsidR="009972B0">
        <w:rPr>
          <w:rFonts w:ascii="Verdana" w:hAnsi="Verdana"/>
          <w:bCs/>
          <w:sz w:val="24"/>
          <w:szCs w:val="24"/>
        </w:rPr>
        <w:t>il</w:t>
      </w:r>
      <w:r w:rsidR="00787AE9">
        <w:rPr>
          <w:rFonts w:ascii="Verdana" w:hAnsi="Verdana"/>
          <w:bCs/>
          <w:sz w:val="24"/>
          <w:szCs w:val="24"/>
        </w:rPr>
        <w:t xml:space="preserve"> necessari</w:t>
      </w:r>
      <w:r w:rsidR="009972B0">
        <w:rPr>
          <w:rFonts w:ascii="Verdana" w:hAnsi="Verdana"/>
          <w:bCs/>
          <w:sz w:val="24"/>
          <w:szCs w:val="24"/>
        </w:rPr>
        <w:t>o</w:t>
      </w:r>
      <w:r w:rsidR="00787AE9">
        <w:rPr>
          <w:rFonts w:ascii="Verdana" w:hAnsi="Verdana"/>
          <w:bCs/>
          <w:sz w:val="24"/>
          <w:szCs w:val="24"/>
        </w:rPr>
        <w:t xml:space="preserve"> </w:t>
      </w:r>
      <w:r w:rsidR="009972B0">
        <w:rPr>
          <w:rFonts w:ascii="Verdana" w:hAnsi="Verdana"/>
          <w:bCs/>
          <w:sz w:val="24"/>
          <w:szCs w:val="24"/>
        </w:rPr>
        <w:t xml:space="preserve">coefficiente di </w:t>
      </w:r>
      <w:r w:rsidR="00787AE9">
        <w:rPr>
          <w:rFonts w:ascii="Verdana" w:hAnsi="Verdana"/>
          <w:bCs/>
          <w:sz w:val="24"/>
          <w:szCs w:val="24"/>
        </w:rPr>
        <w:t>effettività</w:t>
      </w:r>
      <w:r w:rsidR="00BE2F61">
        <w:rPr>
          <w:rFonts w:ascii="Verdana" w:hAnsi="Verdana"/>
          <w:bCs/>
          <w:sz w:val="24"/>
          <w:szCs w:val="24"/>
        </w:rPr>
        <w:t xml:space="preserve">. </w:t>
      </w:r>
    </w:p>
    <w:p w:rsidR="00AC1C47" w:rsidRDefault="00BE2F61" w:rsidP="00CD49D0">
      <w:pPr>
        <w:spacing w:after="0" w:line="360" w:lineRule="auto"/>
        <w:ind w:firstLine="708"/>
        <w:jc w:val="both"/>
        <w:rPr>
          <w:rFonts w:ascii="Verdana" w:hAnsi="Verdana"/>
          <w:bCs/>
          <w:sz w:val="24"/>
          <w:szCs w:val="24"/>
        </w:rPr>
      </w:pPr>
      <w:r>
        <w:rPr>
          <w:rFonts w:ascii="Verdana" w:hAnsi="Verdana"/>
          <w:bCs/>
          <w:sz w:val="24"/>
          <w:szCs w:val="24"/>
        </w:rPr>
        <w:t xml:space="preserve">E sotto tale non </w:t>
      </w:r>
      <w:r w:rsidR="00FD7CB6">
        <w:rPr>
          <w:rFonts w:ascii="Verdana" w:hAnsi="Verdana"/>
          <w:bCs/>
          <w:sz w:val="24"/>
          <w:szCs w:val="24"/>
        </w:rPr>
        <w:t xml:space="preserve">trascurabile </w:t>
      </w:r>
      <w:r>
        <w:rPr>
          <w:rFonts w:ascii="Verdana" w:hAnsi="Verdana"/>
          <w:bCs/>
          <w:sz w:val="24"/>
          <w:szCs w:val="24"/>
        </w:rPr>
        <w:t>aspetto, il secondo arresto della Cassazione lascia</w:t>
      </w:r>
      <w:r w:rsidR="00CD49D0">
        <w:rPr>
          <w:rFonts w:ascii="Verdana" w:hAnsi="Verdana"/>
          <w:bCs/>
          <w:sz w:val="24"/>
          <w:szCs w:val="24"/>
        </w:rPr>
        <w:t>, invero,</w:t>
      </w:r>
      <w:r>
        <w:rPr>
          <w:rFonts w:ascii="Verdana" w:hAnsi="Verdana"/>
          <w:bCs/>
          <w:sz w:val="24"/>
          <w:szCs w:val="24"/>
        </w:rPr>
        <w:t xml:space="preserve"> qualche margine di </w:t>
      </w:r>
      <w:r w:rsidR="00D90DC1">
        <w:rPr>
          <w:rFonts w:ascii="Verdana" w:hAnsi="Verdana"/>
          <w:bCs/>
          <w:sz w:val="24"/>
          <w:szCs w:val="24"/>
        </w:rPr>
        <w:t>disappunto</w:t>
      </w:r>
      <w:r>
        <w:rPr>
          <w:rFonts w:ascii="Verdana" w:hAnsi="Verdana"/>
          <w:bCs/>
          <w:sz w:val="24"/>
          <w:szCs w:val="24"/>
        </w:rPr>
        <w:t>.</w:t>
      </w:r>
      <w:r w:rsidR="00CD49D0">
        <w:rPr>
          <w:rFonts w:ascii="Verdana" w:hAnsi="Verdana"/>
          <w:bCs/>
          <w:sz w:val="24"/>
          <w:szCs w:val="24"/>
        </w:rPr>
        <w:t xml:space="preserve"> A</w:t>
      </w:r>
      <w:r w:rsidR="00D90DC1">
        <w:rPr>
          <w:rFonts w:ascii="Verdana" w:hAnsi="Verdana"/>
          <w:bCs/>
          <w:sz w:val="24"/>
          <w:szCs w:val="24"/>
        </w:rPr>
        <w:t>ppare</w:t>
      </w:r>
      <w:r w:rsidR="00AB59B7">
        <w:rPr>
          <w:rFonts w:ascii="Verdana" w:hAnsi="Verdana"/>
          <w:bCs/>
          <w:sz w:val="24"/>
          <w:szCs w:val="24"/>
        </w:rPr>
        <w:t xml:space="preserve">, infatti, non del tutto persuasiva </w:t>
      </w:r>
      <w:r w:rsidR="00CD49D0">
        <w:rPr>
          <w:rFonts w:ascii="Verdana" w:hAnsi="Verdana"/>
          <w:bCs/>
          <w:sz w:val="24"/>
          <w:szCs w:val="24"/>
        </w:rPr>
        <w:t>l</w:t>
      </w:r>
      <w:r w:rsidR="00AB59B7">
        <w:rPr>
          <w:rFonts w:ascii="Verdana" w:hAnsi="Verdana"/>
          <w:bCs/>
          <w:sz w:val="24"/>
          <w:szCs w:val="24"/>
        </w:rPr>
        <w:t>a scelta, seguita dalla seconda pronuncia in analisi, di fondare</w:t>
      </w:r>
      <w:r>
        <w:rPr>
          <w:rFonts w:ascii="Verdana" w:hAnsi="Verdana"/>
          <w:bCs/>
          <w:sz w:val="24"/>
          <w:szCs w:val="24"/>
        </w:rPr>
        <w:t xml:space="preserve"> l’opzione interpretativa “non attualista” sul piano letterale</w:t>
      </w:r>
      <w:r w:rsidR="00AB59B7">
        <w:rPr>
          <w:rFonts w:ascii="Verdana" w:hAnsi="Verdana"/>
          <w:bCs/>
          <w:sz w:val="24"/>
          <w:szCs w:val="24"/>
        </w:rPr>
        <w:t xml:space="preserve"> anziché puntare decisamente su più solide considerazioni sistematiche. </w:t>
      </w:r>
      <w:r w:rsidR="00787AE9">
        <w:rPr>
          <w:rFonts w:ascii="Verdana" w:hAnsi="Verdana"/>
          <w:bCs/>
          <w:sz w:val="24"/>
          <w:szCs w:val="24"/>
        </w:rPr>
        <w:t>L</w:t>
      </w:r>
      <w:r w:rsidR="00AB59B7">
        <w:rPr>
          <w:rFonts w:ascii="Verdana" w:hAnsi="Verdana"/>
          <w:bCs/>
          <w:sz w:val="24"/>
          <w:szCs w:val="24"/>
        </w:rPr>
        <w:t xml:space="preserve">’infelice dizione </w:t>
      </w:r>
      <w:r w:rsidR="00787AE9">
        <w:rPr>
          <w:rFonts w:ascii="Verdana" w:hAnsi="Verdana"/>
          <w:bCs/>
          <w:sz w:val="24"/>
          <w:szCs w:val="24"/>
        </w:rPr>
        <w:t xml:space="preserve">che </w:t>
      </w:r>
      <w:r w:rsidR="00AC1C47">
        <w:rPr>
          <w:rFonts w:ascii="Verdana" w:hAnsi="Verdana"/>
          <w:bCs/>
          <w:sz w:val="24"/>
          <w:szCs w:val="24"/>
        </w:rPr>
        <w:t xml:space="preserve">inficia </w:t>
      </w:r>
      <w:r w:rsidR="00AC5646">
        <w:rPr>
          <w:rFonts w:ascii="Verdana" w:hAnsi="Verdana"/>
          <w:bCs/>
          <w:sz w:val="24"/>
          <w:szCs w:val="24"/>
        </w:rPr>
        <w:t>l’</w:t>
      </w:r>
      <w:r w:rsidR="00AC5646" w:rsidRPr="00AC5646">
        <w:rPr>
          <w:rFonts w:ascii="Verdana" w:hAnsi="Verdana"/>
          <w:bCs/>
          <w:i/>
          <w:sz w:val="24"/>
          <w:szCs w:val="24"/>
        </w:rPr>
        <w:t>incipit</w:t>
      </w:r>
      <w:r w:rsidR="00AC5646">
        <w:rPr>
          <w:rFonts w:ascii="Verdana" w:hAnsi="Verdana"/>
          <w:bCs/>
          <w:sz w:val="24"/>
          <w:szCs w:val="24"/>
        </w:rPr>
        <w:t xml:space="preserve"> del </w:t>
      </w:r>
      <w:r w:rsidR="00AB59B7">
        <w:rPr>
          <w:rFonts w:ascii="Verdana" w:hAnsi="Verdana"/>
          <w:bCs/>
          <w:sz w:val="24"/>
          <w:szCs w:val="24"/>
        </w:rPr>
        <w:t>comma 1, art. 35-</w:t>
      </w:r>
      <w:r w:rsidR="00AB59B7" w:rsidRPr="00AB59B7">
        <w:rPr>
          <w:rFonts w:ascii="Verdana" w:hAnsi="Verdana"/>
          <w:bCs/>
          <w:i/>
          <w:sz w:val="24"/>
          <w:szCs w:val="24"/>
        </w:rPr>
        <w:t>ter</w:t>
      </w:r>
      <w:r w:rsidR="00AB59B7">
        <w:rPr>
          <w:rFonts w:ascii="Verdana" w:hAnsi="Verdana"/>
          <w:bCs/>
          <w:sz w:val="24"/>
          <w:szCs w:val="24"/>
        </w:rPr>
        <w:t xml:space="preserve">, </w:t>
      </w:r>
      <w:proofErr w:type="spellStart"/>
      <w:r w:rsidR="00AB59B7">
        <w:rPr>
          <w:rFonts w:ascii="Verdana" w:hAnsi="Verdana"/>
          <w:bCs/>
          <w:sz w:val="24"/>
          <w:szCs w:val="24"/>
        </w:rPr>
        <w:t>ord</w:t>
      </w:r>
      <w:proofErr w:type="spellEnd"/>
      <w:r w:rsidR="00AB59B7">
        <w:rPr>
          <w:rFonts w:ascii="Verdana" w:hAnsi="Verdana"/>
          <w:bCs/>
          <w:sz w:val="24"/>
          <w:szCs w:val="24"/>
        </w:rPr>
        <w:t xml:space="preserve">. </w:t>
      </w:r>
      <w:proofErr w:type="spellStart"/>
      <w:proofErr w:type="gramStart"/>
      <w:r w:rsidR="00AB59B7">
        <w:rPr>
          <w:rFonts w:ascii="Verdana" w:hAnsi="Verdana"/>
          <w:bCs/>
          <w:sz w:val="24"/>
          <w:szCs w:val="24"/>
        </w:rPr>
        <w:t>penit</w:t>
      </w:r>
      <w:proofErr w:type="spellEnd"/>
      <w:r w:rsidR="00AB59B7">
        <w:rPr>
          <w:rFonts w:ascii="Verdana" w:hAnsi="Verdana"/>
          <w:bCs/>
          <w:sz w:val="24"/>
          <w:szCs w:val="24"/>
        </w:rPr>
        <w:t>.,</w:t>
      </w:r>
      <w:proofErr w:type="gramEnd"/>
      <w:r w:rsidR="00AB59B7">
        <w:rPr>
          <w:rFonts w:ascii="Verdana" w:hAnsi="Verdana"/>
          <w:bCs/>
          <w:sz w:val="24"/>
          <w:szCs w:val="24"/>
        </w:rPr>
        <w:t xml:space="preserve"> richiama</w:t>
      </w:r>
      <w:r w:rsidR="00AC1C47">
        <w:rPr>
          <w:rFonts w:ascii="Verdana" w:hAnsi="Verdana"/>
          <w:bCs/>
          <w:sz w:val="24"/>
          <w:szCs w:val="24"/>
        </w:rPr>
        <w:t>ndo</w:t>
      </w:r>
      <w:r w:rsidR="00AB59B7">
        <w:rPr>
          <w:rFonts w:ascii="Verdana" w:hAnsi="Verdana"/>
          <w:bCs/>
          <w:sz w:val="24"/>
          <w:szCs w:val="24"/>
        </w:rPr>
        <w:t xml:space="preserve"> la </w:t>
      </w:r>
      <w:proofErr w:type="spellStart"/>
      <w:r w:rsidR="00AB59B7">
        <w:rPr>
          <w:rFonts w:ascii="Verdana" w:hAnsi="Verdana"/>
          <w:bCs/>
          <w:sz w:val="24"/>
          <w:szCs w:val="24"/>
        </w:rPr>
        <w:t>lett</w:t>
      </w:r>
      <w:proofErr w:type="spellEnd"/>
      <w:r w:rsidR="00AB59B7">
        <w:rPr>
          <w:rFonts w:ascii="Verdana" w:hAnsi="Verdana"/>
          <w:bCs/>
          <w:sz w:val="24"/>
          <w:szCs w:val="24"/>
        </w:rPr>
        <w:t xml:space="preserve">. b), comma 6, art. 69 della medesima legge, </w:t>
      </w:r>
      <w:r w:rsidR="00AC1C47">
        <w:rPr>
          <w:rFonts w:ascii="Verdana" w:hAnsi="Verdana"/>
          <w:bCs/>
          <w:sz w:val="24"/>
          <w:szCs w:val="24"/>
        </w:rPr>
        <w:t>infatti,</w:t>
      </w:r>
      <w:r w:rsidR="000C253B">
        <w:rPr>
          <w:rFonts w:ascii="Verdana" w:hAnsi="Verdana"/>
          <w:bCs/>
          <w:sz w:val="24"/>
          <w:szCs w:val="24"/>
        </w:rPr>
        <w:t xml:space="preserve"> </w:t>
      </w:r>
      <w:r w:rsidR="00AC5646">
        <w:rPr>
          <w:rFonts w:ascii="Verdana" w:hAnsi="Verdana"/>
          <w:bCs/>
          <w:sz w:val="24"/>
          <w:szCs w:val="24"/>
        </w:rPr>
        <w:t xml:space="preserve">inequivocabilmente </w:t>
      </w:r>
      <w:r w:rsidR="00AC1C47">
        <w:rPr>
          <w:rFonts w:ascii="Verdana" w:hAnsi="Verdana"/>
          <w:bCs/>
          <w:sz w:val="24"/>
          <w:szCs w:val="24"/>
        </w:rPr>
        <w:t>inquadra</w:t>
      </w:r>
      <w:r w:rsidR="00AC5646">
        <w:rPr>
          <w:rFonts w:ascii="Verdana" w:hAnsi="Verdana"/>
          <w:bCs/>
          <w:sz w:val="24"/>
          <w:szCs w:val="24"/>
        </w:rPr>
        <w:t xml:space="preserve"> l’oggetto del ricorso risarcitorio (</w:t>
      </w:r>
      <w:r w:rsidR="00AC1C47">
        <w:rPr>
          <w:rFonts w:ascii="Verdana" w:hAnsi="Verdana"/>
          <w:bCs/>
          <w:sz w:val="24"/>
          <w:szCs w:val="24"/>
        </w:rPr>
        <w:t xml:space="preserve">&lt;&lt; Quando il </w:t>
      </w:r>
      <w:r w:rsidRPr="00AC1C47">
        <w:rPr>
          <w:rFonts w:ascii="Verdana" w:hAnsi="Verdana"/>
          <w:bCs/>
          <w:i/>
          <w:sz w:val="24"/>
          <w:szCs w:val="24"/>
        </w:rPr>
        <w:t>pregiudizio</w:t>
      </w:r>
      <w:r w:rsidR="00AC1C47">
        <w:rPr>
          <w:rFonts w:ascii="Verdana" w:hAnsi="Verdana"/>
          <w:bCs/>
          <w:sz w:val="24"/>
          <w:szCs w:val="24"/>
        </w:rPr>
        <w:t xml:space="preserve"> di cui all’art. 69, comma 6, </w:t>
      </w:r>
      <w:proofErr w:type="spellStart"/>
      <w:r w:rsidR="00AC1C47">
        <w:rPr>
          <w:rFonts w:ascii="Verdana" w:hAnsi="Verdana"/>
          <w:bCs/>
          <w:sz w:val="24"/>
          <w:szCs w:val="24"/>
        </w:rPr>
        <w:t>lett.b</w:t>
      </w:r>
      <w:proofErr w:type="spellEnd"/>
      <w:r w:rsidR="00AC1C47">
        <w:rPr>
          <w:rFonts w:ascii="Verdana" w:hAnsi="Verdana"/>
          <w:bCs/>
          <w:sz w:val="24"/>
          <w:szCs w:val="24"/>
        </w:rPr>
        <w:t xml:space="preserve">), consiste …&gt;&gt;) </w:t>
      </w:r>
      <w:r w:rsidR="00AC5646">
        <w:rPr>
          <w:rFonts w:ascii="Verdana" w:hAnsi="Verdana"/>
          <w:bCs/>
          <w:sz w:val="24"/>
          <w:szCs w:val="24"/>
        </w:rPr>
        <w:t xml:space="preserve">e non </w:t>
      </w:r>
      <w:r w:rsidR="00AC1C47">
        <w:rPr>
          <w:rFonts w:ascii="Verdana" w:hAnsi="Verdana"/>
          <w:bCs/>
          <w:sz w:val="24"/>
          <w:szCs w:val="24"/>
        </w:rPr>
        <w:t xml:space="preserve">già </w:t>
      </w:r>
      <w:r w:rsidR="00AC5646">
        <w:rPr>
          <w:rFonts w:ascii="Verdana" w:hAnsi="Verdana"/>
          <w:bCs/>
          <w:sz w:val="24"/>
          <w:szCs w:val="24"/>
        </w:rPr>
        <w:t xml:space="preserve">la tipologia </w:t>
      </w:r>
      <w:r w:rsidR="00AC1C47">
        <w:rPr>
          <w:rFonts w:ascii="Verdana" w:hAnsi="Verdana"/>
          <w:bCs/>
          <w:sz w:val="24"/>
          <w:szCs w:val="24"/>
        </w:rPr>
        <w:t>del ricorso (che già appare identificata senza margini di dubbio dall’art.35-</w:t>
      </w:r>
      <w:r w:rsidR="00AC1C47" w:rsidRPr="00AC1C47">
        <w:rPr>
          <w:rFonts w:ascii="Verdana" w:hAnsi="Verdana"/>
          <w:bCs/>
          <w:i/>
          <w:sz w:val="24"/>
          <w:szCs w:val="24"/>
        </w:rPr>
        <w:t>bis,</w:t>
      </w:r>
      <w:r w:rsidR="00AC1C47">
        <w:rPr>
          <w:rFonts w:ascii="Verdana" w:hAnsi="Verdana"/>
          <w:bCs/>
          <w:sz w:val="24"/>
          <w:szCs w:val="24"/>
        </w:rPr>
        <w:t xml:space="preserve"> comma 1, </w:t>
      </w:r>
      <w:proofErr w:type="spellStart"/>
      <w:r w:rsidR="00AC1C47">
        <w:rPr>
          <w:rFonts w:ascii="Verdana" w:hAnsi="Verdana"/>
          <w:bCs/>
          <w:sz w:val="24"/>
          <w:szCs w:val="24"/>
        </w:rPr>
        <w:t>ord</w:t>
      </w:r>
      <w:proofErr w:type="spellEnd"/>
      <w:r w:rsidR="00AC1C47">
        <w:rPr>
          <w:rFonts w:ascii="Verdana" w:hAnsi="Verdana"/>
          <w:bCs/>
          <w:sz w:val="24"/>
          <w:szCs w:val="24"/>
        </w:rPr>
        <w:t xml:space="preserve">. </w:t>
      </w:r>
      <w:proofErr w:type="spellStart"/>
      <w:proofErr w:type="gramStart"/>
      <w:r w:rsidR="00AC1C47">
        <w:rPr>
          <w:rFonts w:ascii="Verdana" w:hAnsi="Verdana"/>
          <w:bCs/>
          <w:sz w:val="24"/>
          <w:szCs w:val="24"/>
        </w:rPr>
        <w:t>penit</w:t>
      </w:r>
      <w:proofErr w:type="spellEnd"/>
      <w:proofErr w:type="gramEnd"/>
      <w:r w:rsidR="00AC1C47">
        <w:rPr>
          <w:rFonts w:ascii="Verdana" w:hAnsi="Verdana"/>
          <w:bCs/>
          <w:sz w:val="24"/>
          <w:szCs w:val="24"/>
        </w:rPr>
        <w:t xml:space="preserve">. : &lt;&lt; il </w:t>
      </w:r>
      <w:r w:rsidR="00AC1C47" w:rsidRPr="00AC1C47">
        <w:rPr>
          <w:rFonts w:ascii="Verdana" w:hAnsi="Verdana"/>
          <w:bCs/>
          <w:i/>
          <w:sz w:val="24"/>
          <w:szCs w:val="24"/>
        </w:rPr>
        <w:t>procedimento</w:t>
      </w:r>
      <w:r w:rsidR="00AC1C47">
        <w:rPr>
          <w:rFonts w:ascii="Verdana" w:hAnsi="Verdana"/>
          <w:bCs/>
          <w:sz w:val="24"/>
          <w:szCs w:val="24"/>
        </w:rPr>
        <w:t xml:space="preserve"> relativo al reclamo di cui all’art. 69, comma 6, si svolge ai sensi ..&gt;&gt;). </w:t>
      </w:r>
    </w:p>
    <w:p w:rsidR="00D32421" w:rsidRDefault="00D32421" w:rsidP="00CD49D0">
      <w:pPr>
        <w:spacing w:after="0" w:line="360" w:lineRule="auto"/>
        <w:ind w:firstLine="708"/>
        <w:jc w:val="both"/>
        <w:rPr>
          <w:rFonts w:ascii="Verdana" w:hAnsi="Verdana"/>
          <w:bCs/>
          <w:sz w:val="24"/>
          <w:szCs w:val="24"/>
        </w:rPr>
      </w:pPr>
      <w:r>
        <w:rPr>
          <w:rFonts w:ascii="Verdana" w:hAnsi="Verdana"/>
          <w:bCs/>
          <w:sz w:val="24"/>
          <w:szCs w:val="24"/>
        </w:rPr>
        <w:lastRenderedPageBreak/>
        <w:t>Ma anche sul piano sistematico, la scelta degli argomenti interpretativi lascia qualche margine di delusione. Non appare, in</w:t>
      </w:r>
      <w:r w:rsidR="009972B0">
        <w:rPr>
          <w:rFonts w:ascii="Verdana" w:hAnsi="Verdana"/>
          <w:bCs/>
          <w:sz w:val="24"/>
          <w:szCs w:val="24"/>
        </w:rPr>
        <w:t>vero</w:t>
      </w:r>
      <w:r>
        <w:rPr>
          <w:rFonts w:ascii="Verdana" w:hAnsi="Verdana"/>
          <w:bCs/>
          <w:sz w:val="24"/>
          <w:szCs w:val="24"/>
        </w:rPr>
        <w:t xml:space="preserve">, del tutto convincente il ragionamento seguito </w:t>
      </w:r>
      <w:r w:rsidR="000C253B">
        <w:rPr>
          <w:rFonts w:ascii="Verdana" w:hAnsi="Verdana"/>
          <w:bCs/>
          <w:sz w:val="24"/>
          <w:szCs w:val="24"/>
        </w:rPr>
        <w:t xml:space="preserve">dal collegio della seconda decisione per cui </w:t>
      </w:r>
      <w:r w:rsidR="00971758">
        <w:rPr>
          <w:rFonts w:ascii="Verdana" w:hAnsi="Verdana"/>
          <w:bCs/>
          <w:sz w:val="24"/>
          <w:szCs w:val="24"/>
        </w:rPr>
        <w:t xml:space="preserve">sarebbe del tutto asistematico </w:t>
      </w:r>
      <w:r w:rsidR="00971758" w:rsidRPr="00971758">
        <w:rPr>
          <w:rFonts w:ascii="Verdana" w:hAnsi="Verdana"/>
          <w:bCs/>
          <w:sz w:val="24"/>
          <w:szCs w:val="24"/>
        </w:rPr>
        <w:t>attribuire a</w:t>
      </w:r>
      <w:r w:rsidR="00971758">
        <w:rPr>
          <w:rFonts w:ascii="Verdana" w:hAnsi="Verdana"/>
          <w:bCs/>
          <w:sz w:val="24"/>
          <w:szCs w:val="24"/>
        </w:rPr>
        <w:t xml:space="preserve">l giudice civile </w:t>
      </w:r>
      <w:r w:rsidR="00971758" w:rsidRPr="00971758">
        <w:rPr>
          <w:rFonts w:ascii="Verdana" w:hAnsi="Verdana"/>
          <w:bCs/>
          <w:sz w:val="24"/>
          <w:szCs w:val="24"/>
        </w:rPr>
        <w:t>la possibilità di operare sul rapporto esecutivo penale</w:t>
      </w:r>
      <w:r w:rsidR="00971758">
        <w:rPr>
          <w:rFonts w:ascii="Verdana" w:hAnsi="Verdana"/>
          <w:bCs/>
          <w:sz w:val="24"/>
          <w:szCs w:val="24"/>
        </w:rPr>
        <w:t xml:space="preserve">, in relazione alla possibilità di accordare la riduzione “risarcitoria” della pena, dal momento che </w:t>
      </w:r>
      <w:r w:rsidR="00430B24">
        <w:rPr>
          <w:rFonts w:ascii="Verdana" w:hAnsi="Verdana"/>
          <w:bCs/>
          <w:sz w:val="24"/>
          <w:szCs w:val="24"/>
        </w:rPr>
        <w:t xml:space="preserve">una tale possibilità non è mai stata presa in considerazione dalla tesi “attualista” </w:t>
      </w:r>
      <w:r w:rsidR="00971758">
        <w:rPr>
          <w:rFonts w:ascii="Verdana" w:hAnsi="Verdana"/>
          <w:bCs/>
          <w:sz w:val="24"/>
          <w:szCs w:val="24"/>
        </w:rPr>
        <w:t>(la</w:t>
      </w:r>
      <w:r w:rsidR="00430B24">
        <w:rPr>
          <w:rFonts w:ascii="Verdana" w:hAnsi="Verdana"/>
          <w:bCs/>
          <w:sz w:val="24"/>
          <w:szCs w:val="24"/>
        </w:rPr>
        <w:t xml:space="preserve"> quale</w:t>
      </w:r>
      <w:r w:rsidR="00971758">
        <w:rPr>
          <w:rFonts w:ascii="Verdana" w:hAnsi="Verdana"/>
          <w:bCs/>
          <w:sz w:val="24"/>
          <w:szCs w:val="24"/>
        </w:rPr>
        <w:t xml:space="preserve">, piuttosto, </w:t>
      </w:r>
      <w:r w:rsidR="00430B24">
        <w:rPr>
          <w:rFonts w:ascii="Verdana" w:hAnsi="Verdana"/>
          <w:bCs/>
          <w:sz w:val="24"/>
          <w:szCs w:val="24"/>
        </w:rPr>
        <w:t xml:space="preserve">opina per </w:t>
      </w:r>
      <w:r w:rsidR="00971758">
        <w:rPr>
          <w:rFonts w:ascii="Verdana" w:hAnsi="Verdana"/>
          <w:bCs/>
          <w:sz w:val="24"/>
          <w:szCs w:val="24"/>
        </w:rPr>
        <w:t>la devoluzione delle domande risarcitorie riferite a pregiudizi non più attuali alla competenza ordinaria del giudice civile ex art. 20143 c.c.).</w:t>
      </w:r>
    </w:p>
    <w:p w:rsidR="00193812" w:rsidRDefault="00971758" w:rsidP="00CD49D0">
      <w:pPr>
        <w:spacing w:after="0" w:line="360" w:lineRule="auto"/>
        <w:ind w:firstLine="708"/>
        <w:jc w:val="both"/>
        <w:rPr>
          <w:rFonts w:ascii="Verdana" w:hAnsi="Verdana"/>
          <w:bCs/>
          <w:sz w:val="24"/>
          <w:szCs w:val="24"/>
        </w:rPr>
      </w:pPr>
      <w:r w:rsidRPr="00971758">
        <w:rPr>
          <w:rFonts w:ascii="Verdana" w:hAnsi="Verdana"/>
          <w:bCs/>
          <w:sz w:val="24"/>
          <w:szCs w:val="24"/>
        </w:rPr>
        <w:t xml:space="preserve"> </w:t>
      </w:r>
      <w:r w:rsidR="009972B0">
        <w:rPr>
          <w:rFonts w:ascii="Verdana" w:hAnsi="Verdana"/>
          <w:bCs/>
          <w:sz w:val="24"/>
          <w:szCs w:val="24"/>
        </w:rPr>
        <w:t xml:space="preserve">Restando su quel </w:t>
      </w:r>
      <w:r w:rsidR="00193812">
        <w:rPr>
          <w:rFonts w:ascii="Verdana" w:hAnsi="Verdana"/>
          <w:bCs/>
          <w:sz w:val="24"/>
          <w:szCs w:val="24"/>
        </w:rPr>
        <w:t>piano</w:t>
      </w:r>
      <w:r w:rsidR="009972B0">
        <w:rPr>
          <w:rFonts w:ascii="Verdana" w:hAnsi="Verdana"/>
          <w:bCs/>
          <w:sz w:val="24"/>
          <w:szCs w:val="24"/>
        </w:rPr>
        <w:t xml:space="preserve"> interpretativo</w:t>
      </w:r>
      <w:r w:rsidR="00193812">
        <w:rPr>
          <w:rFonts w:ascii="Verdana" w:hAnsi="Verdana"/>
          <w:bCs/>
          <w:sz w:val="24"/>
          <w:szCs w:val="24"/>
        </w:rPr>
        <w:t>, del resto, l</w:t>
      </w:r>
      <w:r>
        <w:rPr>
          <w:rFonts w:ascii="Verdana" w:hAnsi="Verdana"/>
          <w:bCs/>
          <w:sz w:val="24"/>
          <w:szCs w:val="24"/>
        </w:rPr>
        <w:t>a tesi per cui sa</w:t>
      </w:r>
      <w:r w:rsidR="00193812">
        <w:rPr>
          <w:rFonts w:ascii="Verdana" w:hAnsi="Verdana"/>
          <w:bCs/>
          <w:sz w:val="24"/>
          <w:szCs w:val="24"/>
        </w:rPr>
        <w:t>rebbe</w:t>
      </w:r>
      <w:r>
        <w:rPr>
          <w:rFonts w:ascii="Verdana" w:hAnsi="Verdana"/>
          <w:bCs/>
          <w:sz w:val="24"/>
          <w:szCs w:val="24"/>
        </w:rPr>
        <w:t xml:space="preserve"> preferibile stabilire la </w:t>
      </w:r>
      <w:r w:rsidRPr="00971758">
        <w:rPr>
          <w:rFonts w:ascii="Verdana" w:hAnsi="Verdana"/>
          <w:bCs/>
          <w:i/>
          <w:sz w:val="24"/>
          <w:szCs w:val="24"/>
        </w:rPr>
        <w:t xml:space="preserve">summa </w:t>
      </w:r>
      <w:proofErr w:type="spellStart"/>
      <w:r w:rsidRPr="00971758">
        <w:rPr>
          <w:rFonts w:ascii="Verdana" w:hAnsi="Verdana"/>
          <w:bCs/>
          <w:i/>
          <w:sz w:val="24"/>
          <w:szCs w:val="24"/>
        </w:rPr>
        <w:t>divisio</w:t>
      </w:r>
      <w:proofErr w:type="spellEnd"/>
      <w:r>
        <w:rPr>
          <w:rFonts w:ascii="Verdana" w:hAnsi="Verdana"/>
          <w:bCs/>
          <w:sz w:val="24"/>
          <w:szCs w:val="24"/>
        </w:rPr>
        <w:t xml:space="preserve"> della competenza con riferimento alla permanenza dello </w:t>
      </w:r>
      <w:r w:rsidRPr="00971758">
        <w:rPr>
          <w:rFonts w:ascii="Verdana" w:hAnsi="Verdana"/>
          <w:bCs/>
          <w:i/>
          <w:sz w:val="24"/>
          <w:szCs w:val="24"/>
        </w:rPr>
        <w:t xml:space="preserve">status </w:t>
      </w:r>
      <w:proofErr w:type="spellStart"/>
      <w:r w:rsidRPr="00971758">
        <w:rPr>
          <w:rFonts w:ascii="Verdana" w:hAnsi="Verdana"/>
          <w:bCs/>
          <w:i/>
          <w:sz w:val="24"/>
          <w:szCs w:val="24"/>
        </w:rPr>
        <w:t>detentionis</w:t>
      </w:r>
      <w:proofErr w:type="spellEnd"/>
      <w:r>
        <w:rPr>
          <w:rFonts w:ascii="Verdana" w:hAnsi="Verdana"/>
          <w:bCs/>
          <w:sz w:val="24"/>
          <w:szCs w:val="24"/>
        </w:rPr>
        <w:t xml:space="preserve">, non </w:t>
      </w:r>
      <w:r w:rsidR="00C1453B">
        <w:rPr>
          <w:rFonts w:ascii="Verdana" w:hAnsi="Verdana"/>
          <w:bCs/>
          <w:sz w:val="24"/>
          <w:szCs w:val="24"/>
        </w:rPr>
        <w:t xml:space="preserve">pare </w:t>
      </w:r>
      <w:r w:rsidR="00193812">
        <w:rPr>
          <w:rFonts w:ascii="Verdana" w:hAnsi="Verdana"/>
          <w:bCs/>
          <w:sz w:val="24"/>
          <w:szCs w:val="24"/>
        </w:rPr>
        <w:t>di per se dirimente</w:t>
      </w:r>
      <w:r>
        <w:rPr>
          <w:rFonts w:ascii="Verdana" w:hAnsi="Verdana"/>
          <w:bCs/>
          <w:sz w:val="24"/>
          <w:szCs w:val="24"/>
        </w:rPr>
        <w:t>, non potendosi configurare – come consolidato indirizzo della Cassazione ha già chiarito – alcuna “giurisdizione esclusiva” della magistratura di sorveglianza in relazione alla tutela dei diritti dei detenuti</w:t>
      </w:r>
      <w:r w:rsidR="00D32421">
        <w:rPr>
          <w:rStyle w:val="Rimandonotaapidipagina"/>
          <w:rFonts w:ascii="Verdana" w:hAnsi="Verdana"/>
          <w:bCs/>
          <w:sz w:val="24"/>
          <w:szCs w:val="24"/>
        </w:rPr>
        <w:footnoteReference w:id="14"/>
      </w:r>
      <w:r w:rsidR="00C1453B">
        <w:rPr>
          <w:rFonts w:ascii="Verdana" w:hAnsi="Verdana"/>
          <w:bCs/>
          <w:sz w:val="24"/>
          <w:szCs w:val="24"/>
        </w:rPr>
        <w:t xml:space="preserve">. </w:t>
      </w:r>
    </w:p>
    <w:p w:rsidR="00357962" w:rsidRDefault="00C1453B" w:rsidP="00CD49D0">
      <w:pPr>
        <w:spacing w:after="0" w:line="360" w:lineRule="auto"/>
        <w:ind w:firstLine="708"/>
        <w:jc w:val="both"/>
        <w:rPr>
          <w:rFonts w:ascii="Verdana" w:hAnsi="Verdana"/>
          <w:bCs/>
          <w:sz w:val="24"/>
          <w:szCs w:val="24"/>
        </w:rPr>
      </w:pPr>
      <w:r>
        <w:rPr>
          <w:rFonts w:ascii="Verdana" w:hAnsi="Verdana"/>
          <w:bCs/>
          <w:sz w:val="24"/>
          <w:szCs w:val="24"/>
        </w:rPr>
        <w:t xml:space="preserve">Ben più convincente sarebbe stato un esplicito riferimento all’ineffettività pratica del rimedio risarcitorio </w:t>
      </w:r>
      <w:r w:rsidR="00193812">
        <w:rPr>
          <w:rFonts w:ascii="Verdana" w:hAnsi="Verdana"/>
          <w:bCs/>
          <w:sz w:val="24"/>
          <w:szCs w:val="24"/>
        </w:rPr>
        <w:t xml:space="preserve">che conseguirebbe </w:t>
      </w:r>
      <w:r w:rsidR="006A7212">
        <w:rPr>
          <w:rFonts w:ascii="Verdana" w:hAnsi="Verdana"/>
          <w:bCs/>
          <w:sz w:val="24"/>
          <w:szCs w:val="24"/>
        </w:rPr>
        <w:t>al ritenere necessaria l’</w:t>
      </w:r>
      <w:r>
        <w:rPr>
          <w:rFonts w:ascii="Verdana" w:hAnsi="Verdana"/>
          <w:bCs/>
          <w:sz w:val="24"/>
          <w:szCs w:val="24"/>
        </w:rPr>
        <w:t xml:space="preserve"> “attualità” del pregiudizio e alla esigenza</w:t>
      </w:r>
      <w:r w:rsidR="00193812">
        <w:rPr>
          <w:rFonts w:ascii="Verdana" w:hAnsi="Verdana"/>
          <w:bCs/>
          <w:sz w:val="24"/>
          <w:szCs w:val="24"/>
        </w:rPr>
        <w:t xml:space="preserve"> - che ne consegue - di un adattamento “convenzionalmente orientato</w:t>
      </w:r>
      <w:r>
        <w:rPr>
          <w:rFonts w:ascii="Verdana" w:hAnsi="Verdana"/>
          <w:bCs/>
          <w:sz w:val="24"/>
          <w:szCs w:val="24"/>
        </w:rPr>
        <w:t xml:space="preserve">” della disposizione di matrice europea, </w:t>
      </w:r>
      <w:r w:rsidR="00D32421">
        <w:rPr>
          <w:rFonts w:ascii="Verdana" w:hAnsi="Verdana"/>
          <w:bCs/>
          <w:sz w:val="24"/>
          <w:szCs w:val="24"/>
        </w:rPr>
        <w:t>se</w:t>
      </w:r>
      <w:bookmarkStart w:id="0" w:name="_GoBack"/>
      <w:bookmarkEnd w:id="0"/>
      <w:r w:rsidR="00D32421">
        <w:rPr>
          <w:rFonts w:ascii="Verdana" w:hAnsi="Verdana"/>
          <w:bCs/>
          <w:sz w:val="24"/>
          <w:szCs w:val="24"/>
        </w:rPr>
        <w:t xml:space="preserve">condo </w:t>
      </w:r>
      <w:r w:rsidR="00193812">
        <w:rPr>
          <w:rFonts w:ascii="Verdana" w:hAnsi="Verdana"/>
          <w:bCs/>
          <w:sz w:val="24"/>
          <w:szCs w:val="24"/>
        </w:rPr>
        <w:t xml:space="preserve"> una prospettiva </w:t>
      </w:r>
      <w:r>
        <w:rPr>
          <w:rFonts w:ascii="Verdana" w:hAnsi="Verdana"/>
          <w:bCs/>
          <w:sz w:val="24"/>
          <w:szCs w:val="24"/>
        </w:rPr>
        <w:t>ermeneutica che</w:t>
      </w:r>
      <w:r w:rsidR="006A7212">
        <w:rPr>
          <w:rFonts w:ascii="Verdana" w:hAnsi="Verdana"/>
          <w:bCs/>
          <w:sz w:val="24"/>
          <w:szCs w:val="24"/>
        </w:rPr>
        <w:t>, del resto,</w:t>
      </w:r>
      <w:r>
        <w:rPr>
          <w:rFonts w:ascii="Verdana" w:hAnsi="Verdana"/>
          <w:bCs/>
          <w:sz w:val="24"/>
          <w:szCs w:val="24"/>
        </w:rPr>
        <w:t xml:space="preserve"> la stessa </w:t>
      </w:r>
      <w:r w:rsidR="00193812">
        <w:rPr>
          <w:rFonts w:ascii="Verdana" w:hAnsi="Verdana"/>
          <w:bCs/>
          <w:sz w:val="24"/>
          <w:szCs w:val="24"/>
        </w:rPr>
        <w:t>dizione normativa</w:t>
      </w:r>
      <w:r>
        <w:rPr>
          <w:rFonts w:ascii="Verdana" w:hAnsi="Verdana"/>
          <w:bCs/>
          <w:sz w:val="24"/>
          <w:szCs w:val="24"/>
        </w:rPr>
        <w:t>, nell’ancorare l’interpretazione del giudice italiano a</w:t>
      </w:r>
      <w:r w:rsidR="006A7212">
        <w:rPr>
          <w:rFonts w:ascii="Verdana" w:hAnsi="Verdana"/>
          <w:bCs/>
          <w:sz w:val="24"/>
          <w:szCs w:val="24"/>
        </w:rPr>
        <w:t>i principi elaborati da</w:t>
      </w:r>
      <w:r>
        <w:rPr>
          <w:rFonts w:ascii="Verdana" w:hAnsi="Verdana"/>
          <w:bCs/>
          <w:sz w:val="24"/>
          <w:szCs w:val="24"/>
        </w:rPr>
        <w:t>lla giurisprudenza CEDU, sembra necessariamente imporre</w:t>
      </w:r>
      <w:r w:rsidR="00D32421">
        <w:rPr>
          <w:rFonts w:ascii="Verdana" w:hAnsi="Verdana"/>
          <w:bCs/>
          <w:sz w:val="24"/>
          <w:szCs w:val="24"/>
        </w:rPr>
        <w:t>, come del resto la migliore dottrina aveva suggerito</w:t>
      </w:r>
      <w:r w:rsidR="007F4E54">
        <w:rPr>
          <w:rStyle w:val="Rimandonotaapidipagina"/>
          <w:rFonts w:ascii="Verdana" w:hAnsi="Verdana"/>
          <w:bCs/>
          <w:sz w:val="24"/>
          <w:szCs w:val="24"/>
        </w:rPr>
        <w:footnoteReference w:id="15"/>
      </w:r>
      <w:r>
        <w:rPr>
          <w:rFonts w:ascii="Verdana" w:hAnsi="Verdana"/>
          <w:bCs/>
          <w:sz w:val="24"/>
          <w:szCs w:val="24"/>
        </w:rPr>
        <w:t>.</w:t>
      </w:r>
    </w:p>
    <w:p w:rsidR="00D15230" w:rsidRDefault="00BE2F61" w:rsidP="00D32421">
      <w:pPr>
        <w:spacing w:after="0" w:line="360" w:lineRule="auto"/>
        <w:ind w:firstLine="708"/>
        <w:jc w:val="both"/>
        <w:rPr>
          <w:rFonts w:ascii="Verdana" w:hAnsi="Verdana"/>
          <w:bCs/>
          <w:sz w:val="24"/>
          <w:szCs w:val="24"/>
        </w:rPr>
      </w:pPr>
      <w:r>
        <w:rPr>
          <w:rFonts w:ascii="Verdana" w:hAnsi="Verdana"/>
          <w:bCs/>
          <w:sz w:val="24"/>
          <w:szCs w:val="24"/>
        </w:rPr>
        <w:t>Grande è (ancora) la confusione sotto il cielo.</w:t>
      </w:r>
    </w:p>
    <w:p w:rsidR="00357962" w:rsidRPr="00357962" w:rsidRDefault="00357962" w:rsidP="001A5E27">
      <w:pPr>
        <w:spacing w:after="0" w:line="360" w:lineRule="auto"/>
        <w:jc w:val="both"/>
        <w:rPr>
          <w:rFonts w:ascii="Verdana" w:hAnsi="Verdana"/>
          <w:bCs/>
          <w:sz w:val="24"/>
          <w:szCs w:val="24"/>
        </w:rPr>
      </w:pPr>
    </w:p>
    <w:p w:rsidR="002B4458" w:rsidRPr="006A4BC6" w:rsidRDefault="002B4458" w:rsidP="001A5E27">
      <w:pPr>
        <w:spacing w:after="0" w:line="360" w:lineRule="auto"/>
        <w:jc w:val="both"/>
        <w:rPr>
          <w:rFonts w:ascii="Verdana" w:hAnsi="Verdana"/>
          <w:bCs/>
          <w:sz w:val="24"/>
          <w:szCs w:val="24"/>
        </w:rPr>
      </w:pPr>
    </w:p>
    <w:sectPr w:rsidR="002B4458" w:rsidRPr="006A4BC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D6D" w:rsidRDefault="003C1D6D" w:rsidP="00093E8C">
      <w:pPr>
        <w:spacing w:after="0" w:line="240" w:lineRule="auto"/>
      </w:pPr>
      <w:r>
        <w:separator/>
      </w:r>
    </w:p>
  </w:endnote>
  <w:endnote w:type="continuationSeparator" w:id="0">
    <w:p w:rsidR="003C1D6D" w:rsidRDefault="003C1D6D" w:rsidP="0009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D6D" w:rsidRDefault="003C1D6D" w:rsidP="00093E8C">
      <w:pPr>
        <w:spacing w:after="0" w:line="240" w:lineRule="auto"/>
      </w:pPr>
      <w:r>
        <w:separator/>
      </w:r>
    </w:p>
  </w:footnote>
  <w:footnote w:type="continuationSeparator" w:id="0">
    <w:p w:rsidR="003C1D6D" w:rsidRDefault="003C1D6D" w:rsidP="00093E8C">
      <w:pPr>
        <w:spacing w:after="0" w:line="240" w:lineRule="auto"/>
      </w:pPr>
      <w:r>
        <w:continuationSeparator/>
      </w:r>
    </w:p>
  </w:footnote>
  <w:footnote w:id="1">
    <w:p w:rsidR="008E2C0F" w:rsidRPr="00C71D09" w:rsidRDefault="008E2C0F" w:rsidP="008E2C0F">
      <w:pPr>
        <w:pStyle w:val="Testonotaapidipagina"/>
        <w:jc w:val="both"/>
        <w:rPr>
          <w:rFonts w:ascii="Verdana" w:hAnsi="Verdana"/>
        </w:rPr>
      </w:pPr>
      <w:r w:rsidRPr="00C71D09">
        <w:rPr>
          <w:rStyle w:val="Rimandonotaapidipagina"/>
          <w:rFonts w:ascii="Verdana" w:hAnsi="Verdana"/>
        </w:rPr>
        <w:footnoteRef/>
      </w:r>
      <w:r w:rsidRPr="00C71D09">
        <w:rPr>
          <w:rFonts w:ascii="Verdana" w:hAnsi="Verdana"/>
        </w:rPr>
        <w:t xml:space="preserve"> </w:t>
      </w:r>
      <w:r w:rsidR="006A7212">
        <w:rPr>
          <w:rFonts w:ascii="Verdana" w:hAnsi="Verdana"/>
        </w:rPr>
        <w:t>L’art.</w:t>
      </w:r>
      <w:r w:rsidRPr="00C71D09">
        <w:rPr>
          <w:rFonts w:ascii="Verdana" w:hAnsi="Verdana"/>
        </w:rPr>
        <w:t>35-</w:t>
      </w:r>
      <w:r w:rsidRPr="00C71D09">
        <w:rPr>
          <w:rFonts w:ascii="Verdana" w:hAnsi="Verdana"/>
          <w:i/>
        </w:rPr>
        <w:t xml:space="preserve">ter </w:t>
      </w:r>
      <w:r w:rsidRPr="00C71D09">
        <w:rPr>
          <w:rFonts w:ascii="Verdana" w:hAnsi="Verdana"/>
        </w:rPr>
        <w:t>della l</w:t>
      </w:r>
      <w:r w:rsidR="00133220">
        <w:rPr>
          <w:rFonts w:ascii="Verdana" w:hAnsi="Verdana"/>
        </w:rPr>
        <w:t>.</w:t>
      </w:r>
      <w:r w:rsidRPr="00C71D09">
        <w:rPr>
          <w:rFonts w:ascii="Verdana" w:hAnsi="Verdana"/>
        </w:rPr>
        <w:t xml:space="preserve"> 26 luglio 1975, n. 354, </w:t>
      </w:r>
      <w:r w:rsidR="006A7212">
        <w:rPr>
          <w:rFonts w:ascii="Verdana" w:hAnsi="Verdana"/>
        </w:rPr>
        <w:t xml:space="preserve">è stato introdotto </w:t>
      </w:r>
      <w:r w:rsidR="00133220">
        <w:rPr>
          <w:rFonts w:ascii="Verdana" w:hAnsi="Verdana"/>
        </w:rPr>
        <w:t xml:space="preserve">dall’art.1 </w:t>
      </w:r>
      <w:proofErr w:type="spellStart"/>
      <w:r w:rsidR="00133220">
        <w:rPr>
          <w:rFonts w:ascii="Verdana" w:hAnsi="Verdana"/>
        </w:rPr>
        <w:t>d.l</w:t>
      </w:r>
      <w:r w:rsidRPr="00C71D09">
        <w:rPr>
          <w:rFonts w:ascii="Verdana" w:hAnsi="Verdana"/>
        </w:rPr>
        <w:t>.</w:t>
      </w:r>
      <w:proofErr w:type="spellEnd"/>
      <w:r w:rsidRPr="00C71D09">
        <w:rPr>
          <w:rFonts w:ascii="Verdana" w:hAnsi="Verdana"/>
        </w:rPr>
        <w:t xml:space="preserve"> 26 </w:t>
      </w:r>
      <w:r w:rsidR="00133220">
        <w:rPr>
          <w:rFonts w:ascii="Verdana" w:hAnsi="Verdana"/>
        </w:rPr>
        <w:t xml:space="preserve">giugno 2014 n. 92, </w:t>
      </w:r>
      <w:proofErr w:type="spellStart"/>
      <w:r w:rsidR="00133220">
        <w:rPr>
          <w:rFonts w:ascii="Verdana" w:hAnsi="Verdana"/>
        </w:rPr>
        <w:t>conv</w:t>
      </w:r>
      <w:proofErr w:type="spellEnd"/>
      <w:r w:rsidR="00133220">
        <w:rPr>
          <w:rFonts w:ascii="Verdana" w:hAnsi="Verdana"/>
        </w:rPr>
        <w:t xml:space="preserve">. </w:t>
      </w:r>
      <w:proofErr w:type="gramStart"/>
      <w:r w:rsidR="00133220">
        <w:rPr>
          <w:rFonts w:ascii="Verdana" w:hAnsi="Verdana"/>
        </w:rPr>
        <w:t>dalla</w:t>
      </w:r>
      <w:proofErr w:type="gramEnd"/>
      <w:r w:rsidR="00133220">
        <w:rPr>
          <w:rFonts w:ascii="Verdana" w:hAnsi="Verdana"/>
        </w:rPr>
        <w:t xml:space="preserve"> l</w:t>
      </w:r>
      <w:r w:rsidRPr="00C71D09">
        <w:rPr>
          <w:rFonts w:ascii="Verdana" w:hAnsi="Verdana"/>
        </w:rPr>
        <w:t>.11 agosto 2014, n.117.</w:t>
      </w:r>
      <w:r w:rsidR="00C71D09" w:rsidRPr="00C71D09">
        <w:rPr>
          <w:rFonts w:ascii="Verdana" w:hAnsi="Verdana"/>
          <w:bCs/>
        </w:rPr>
        <w:t xml:space="preserve"> </w:t>
      </w:r>
      <w:r w:rsidR="006A7212">
        <w:rPr>
          <w:rFonts w:ascii="Verdana" w:hAnsi="Verdana"/>
          <w:bCs/>
        </w:rPr>
        <w:t>P</w:t>
      </w:r>
      <w:r w:rsidR="00133220">
        <w:rPr>
          <w:rFonts w:ascii="Verdana" w:hAnsi="Verdana"/>
          <w:bCs/>
        </w:rPr>
        <w:t>e</w:t>
      </w:r>
      <w:r w:rsidR="006A7212">
        <w:rPr>
          <w:rFonts w:ascii="Verdana" w:hAnsi="Verdana"/>
          <w:bCs/>
        </w:rPr>
        <w:t>r u</w:t>
      </w:r>
      <w:r w:rsidR="00C71D09" w:rsidRPr="00C71D09">
        <w:rPr>
          <w:rFonts w:ascii="Verdana" w:hAnsi="Verdana"/>
          <w:bCs/>
        </w:rPr>
        <w:t xml:space="preserve">na prima lettura </w:t>
      </w:r>
      <w:r w:rsidR="001A5E27">
        <w:rPr>
          <w:rFonts w:ascii="Verdana" w:hAnsi="Verdana"/>
          <w:bCs/>
        </w:rPr>
        <w:t>della nuova disciplina</w:t>
      </w:r>
      <w:r w:rsidR="00133220">
        <w:rPr>
          <w:rFonts w:ascii="Verdana" w:hAnsi="Verdana"/>
          <w:bCs/>
        </w:rPr>
        <w:t>, cfr.</w:t>
      </w:r>
      <w:r w:rsidR="001A5E27">
        <w:rPr>
          <w:rFonts w:ascii="Verdana" w:hAnsi="Verdana"/>
          <w:bCs/>
        </w:rPr>
        <w:t xml:space="preserve"> </w:t>
      </w:r>
      <w:r w:rsidR="00C71D09" w:rsidRPr="00C71D09">
        <w:rPr>
          <w:rFonts w:ascii="Verdana" w:hAnsi="Verdana"/>
          <w:bCs/>
        </w:rPr>
        <w:t xml:space="preserve">GORI, </w:t>
      </w:r>
      <w:r w:rsidR="006A7212">
        <w:rPr>
          <w:rFonts w:ascii="Verdana" w:hAnsi="Verdana"/>
          <w:bCs/>
          <w:i/>
        </w:rPr>
        <w:t xml:space="preserve">Articolo 3 </w:t>
      </w:r>
      <w:proofErr w:type="spellStart"/>
      <w:r w:rsidR="006A7212">
        <w:rPr>
          <w:rFonts w:ascii="Verdana" w:hAnsi="Verdana"/>
          <w:bCs/>
          <w:i/>
        </w:rPr>
        <w:t>C</w:t>
      </w:r>
      <w:r w:rsidR="00C71D09" w:rsidRPr="00C71D09">
        <w:rPr>
          <w:rFonts w:ascii="Verdana" w:hAnsi="Verdana"/>
          <w:bCs/>
          <w:i/>
        </w:rPr>
        <w:t>edu</w:t>
      </w:r>
      <w:proofErr w:type="spellEnd"/>
      <w:r w:rsidR="00C71D09" w:rsidRPr="00C71D09">
        <w:rPr>
          <w:rFonts w:ascii="Verdana" w:hAnsi="Verdana"/>
          <w:bCs/>
          <w:i/>
        </w:rPr>
        <w:t xml:space="preserve"> e risarcimento da inumana detenzione,</w:t>
      </w:r>
      <w:r w:rsidR="00C71D09" w:rsidRPr="00C71D09">
        <w:rPr>
          <w:rFonts w:ascii="Verdana" w:hAnsi="Verdana"/>
          <w:bCs/>
        </w:rPr>
        <w:t xml:space="preserve"> in </w:t>
      </w:r>
      <w:proofErr w:type="spellStart"/>
      <w:r w:rsidR="008E2CB0">
        <w:rPr>
          <w:rFonts w:ascii="Verdana" w:hAnsi="Verdana"/>
          <w:bCs/>
        </w:rPr>
        <w:t>Q</w:t>
      </w:r>
      <w:r w:rsidR="00C71D09" w:rsidRPr="00C71D09">
        <w:rPr>
          <w:rFonts w:ascii="Verdana" w:hAnsi="Verdana"/>
          <w:bCs/>
          <w:i/>
        </w:rPr>
        <w:t>uest</w:t>
      </w:r>
      <w:proofErr w:type="spellEnd"/>
      <w:r w:rsidR="008E2CB0">
        <w:rPr>
          <w:rFonts w:ascii="Verdana" w:hAnsi="Verdana"/>
          <w:bCs/>
          <w:i/>
        </w:rPr>
        <w:t xml:space="preserve">. </w:t>
      </w:r>
      <w:proofErr w:type="spellStart"/>
      <w:r w:rsidR="008E2CB0">
        <w:rPr>
          <w:rFonts w:ascii="Verdana" w:hAnsi="Verdana"/>
          <w:bCs/>
          <w:i/>
        </w:rPr>
        <w:t>Gi</w:t>
      </w:r>
      <w:r w:rsidR="00C71D09" w:rsidRPr="00C71D09">
        <w:rPr>
          <w:rFonts w:ascii="Verdana" w:hAnsi="Verdana"/>
          <w:bCs/>
          <w:i/>
        </w:rPr>
        <w:t>ust</w:t>
      </w:r>
      <w:r w:rsidR="008E2CB0">
        <w:rPr>
          <w:rFonts w:ascii="Verdana" w:hAnsi="Verdana"/>
          <w:bCs/>
          <w:i/>
        </w:rPr>
        <w:t>.</w:t>
      </w:r>
      <w:r w:rsidR="008E2CB0">
        <w:rPr>
          <w:rFonts w:ascii="Verdana" w:hAnsi="Verdana"/>
          <w:bCs/>
        </w:rPr>
        <w:t>online</w:t>
      </w:r>
      <w:proofErr w:type="spellEnd"/>
      <w:r w:rsidR="008E2CB0">
        <w:rPr>
          <w:rFonts w:ascii="Verdana" w:hAnsi="Verdana"/>
          <w:bCs/>
        </w:rPr>
        <w:t>,</w:t>
      </w:r>
      <w:r w:rsidR="00C71D09" w:rsidRPr="00C71D09">
        <w:rPr>
          <w:rFonts w:ascii="Verdana" w:hAnsi="Verdana"/>
          <w:bCs/>
        </w:rPr>
        <w:t xml:space="preserve"> 3 ottobre 2014.</w:t>
      </w:r>
    </w:p>
  </w:footnote>
  <w:footnote w:id="2">
    <w:p w:rsidR="008E2C0F" w:rsidRPr="00C71D09" w:rsidRDefault="008E2C0F" w:rsidP="00131C30">
      <w:pPr>
        <w:pStyle w:val="Testonotaapidipagina"/>
        <w:jc w:val="both"/>
        <w:rPr>
          <w:rFonts w:ascii="Verdana" w:hAnsi="Verdana"/>
        </w:rPr>
      </w:pPr>
      <w:r w:rsidRPr="00C71D09">
        <w:rPr>
          <w:rStyle w:val="Rimandonotaapidipagina"/>
          <w:rFonts w:ascii="Verdana" w:hAnsi="Verdana"/>
        </w:rPr>
        <w:footnoteRef/>
      </w:r>
      <w:r w:rsidRPr="00C71D09">
        <w:rPr>
          <w:rFonts w:ascii="Verdana" w:hAnsi="Verdana"/>
        </w:rPr>
        <w:t xml:space="preserve"> C</w:t>
      </w:r>
      <w:r w:rsidR="00133220">
        <w:rPr>
          <w:rFonts w:ascii="Verdana" w:hAnsi="Verdana"/>
        </w:rPr>
        <w:t>EDU</w:t>
      </w:r>
      <w:r w:rsidRPr="00C71D09">
        <w:rPr>
          <w:rFonts w:ascii="Verdana" w:hAnsi="Verdana"/>
        </w:rPr>
        <w:t xml:space="preserve">, Sez. II, 8 gennaio 2013, </w:t>
      </w:r>
      <w:proofErr w:type="spellStart"/>
      <w:r w:rsidRPr="00C71D09">
        <w:rPr>
          <w:rFonts w:ascii="Verdana" w:hAnsi="Verdana"/>
          <w:i/>
        </w:rPr>
        <w:t>Torreggiani</w:t>
      </w:r>
      <w:proofErr w:type="spellEnd"/>
      <w:r w:rsidRPr="00C71D09">
        <w:rPr>
          <w:rFonts w:ascii="Verdana" w:hAnsi="Verdana"/>
          <w:i/>
        </w:rPr>
        <w:t xml:space="preserve"> e altri c. Italia, </w:t>
      </w:r>
      <w:proofErr w:type="spellStart"/>
      <w:r w:rsidRPr="00C71D09">
        <w:rPr>
          <w:rFonts w:ascii="Verdana" w:hAnsi="Verdana"/>
        </w:rPr>
        <w:t>nn</w:t>
      </w:r>
      <w:proofErr w:type="spellEnd"/>
      <w:r w:rsidRPr="00C71D09">
        <w:rPr>
          <w:rFonts w:ascii="Verdana" w:hAnsi="Verdana"/>
        </w:rPr>
        <w:t xml:space="preserve">. 43517/09 46882/09 55400/09 57875/09 61535/09 35315/10 37818/10, in </w:t>
      </w:r>
      <w:r w:rsidR="001A5E27">
        <w:rPr>
          <w:rFonts w:ascii="Verdana" w:hAnsi="Verdana"/>
          <w:i/>
        </w:rPr>
        <w:t>Questa Rivista,</w:t>
      </w:r>
      <w:r w:rsidRPr="00C71D09">
        <w:rPr>
          <w:rFonts w:ascii="Verdana" w:hAnsi="Verdana"/>
        </w:rPr>
        <w:t xml:space="preserve"> 2013, </w:t>
      </w:r>
      <w:r w:rsidR="00133220">
        <w:rPr>
          <w:rFonts w:ascii="Verdana" w:hAnsi="Verdana"/>
        </w:rPr>
        <w:t>p.</w:t>
      </w:r>
      <w:r w:rsidRPr="00C71D09">
        <w:rPr>
          <w:rFonts w:ascii="Verdana" w:hAnsi="Verdana"/>
        </w:rPr>
        <w:t xml:space="preserve">11, con nota di TAMBURINO. Per l’analisi della sentenza, </w:t>
      </w:r>
      <w:r w:rsidR="001A5E27">
        <w:rPr>
          <w:rFonts w:ascii="Verdana" w:hAnsi="Verdana"/>
        </w:rPr>
        <w:t xml:space="preserve">si veda </w:t>
      </w:r>
      <w:r w:rsidRPr="00C71D09">
        <w:rPr>
          <w:rFonts w:ascii="Verdana" w:hAnsi="Verdana"/>
        </w:rPr>
        <w:t xml:space="preserve">FIORIO, </w:t>
      </w:r>
      <w:proofErr w:type="spellStart"/>
      <w:r w:rsidRPr="00C71D09">
        <w:rPr>
          <w:rFonts w:ascii="Verdana" w:hAnsi="Verdana"/>
          <w:i/>
        </w:rPr>
        <w:t>Torreggiani</w:t>
      </w:r>
      <w:proofErr w:type="spellEnd"/>
      <w:r w:rsidRPr="00C71D09">
        <w:rPr>
          <w:rFonts w:ascii="Verdana" w:hAnsi="Verdana"/>
          <w:i/>
        </w:rPr>
        <w:t xml:space="preserve"> c. Italia: ultimo atto,</w:t>
      </w:r>
      <w:r w:rsidRPr="00C71D09">
        <w:rPr>
          <w:rFonts w:ascii="Verdana" w:hAnsi="Verdana"/>
        </w:rPr>
        <w:t xml:space="preserve"> in Antigone, 2013, </w:t>
      </w:r>
      <w:r w:rsidR="00133220">
        <w:rPr>
          <w:rFonts w:ascii="Verdana" w:hAnsi="Verdana"/>
        </w:rPr>
        <w:t>p.</w:t>
      </w:r>
      <w:r w:rsidRPr="00C71D09">
        <w:rPr>
          <w:rFonts w:ascii="Verdana" w:hAnsi="Verdana"/>
        </w:rPr>
        <w:t xml:space="preserve">1; VIGANÒ, </w:t>
      </w:r>
      <w:r w:rsidRPr="00C71D09">
        <w:rPr>
          <w:rFonts w:ascii="Verdana" w:hAnsi="Verdana"/>
          <w:i/>
        </w:rPr>
        <w:t xml:space="preserve">Sentenza pilota della corte </w:t>
      </w:r>
      <w:proofErr w:type="spellStart"/>
      <w:r w:rsidRPr="00C71D09">
        <w:rPr>
          <w:rFonts w:ascii="Verdana" w:hAnsi="Verdana"/>
          <w:i/>
        </w:rPr>
        <w:t>edu</w:t>
      </w:r>
      <w:proofErr w:type="spellEnd"/>
      <w:r w:rsidRPr="00C71D09">
        <w:rPr>
          <w:rFonts w:ascii="Verdana" w:hAnsi="Verdana"/>
          <w:i/>
        </w:rPr>
        <w:t xml:space="preserve"> sul sovraffollamento nelle carceri italiane: il nostro Paese chiamato all'adozione di rimedi strutturali entro il termine di un anno</w:t>
      </w:r>
      <w:r w:rsidRPr="00C71D09">
        <w:rPr>
          <w:rFonts w:ascii="Verdana" w:hAnsi="Verdana"/>
        </w:rPr>
        <w:t xml:space="preserve">, in </w:t>
      </w:r>
      <w:r w:rsidRPr="00C71D09">
        <w:rPr>
          <w:rFonts w:ascii="Verdana" w:hAnsi="Verdana"/>
          <w:i/>
        </w:rPr>
        <w:t xml:space="preserve">www.penalecontemporaneo.it.  </w:t>
      </w:r>
    </w:p>
  </w:footnote>
  <w:footnote w:id="3">
    <w:p w:rsidR="008E2C0F" w:rsidRPr="00C71D09" w:rsidRDefault="008E2C0F" w:rsidP="008E2C0F">
      <w:pPr>
        <w:pStyle w:val="Testonotaapidipagina"/>
        <w:jc w:val="both"/>
        <w:rPr>
          <w:rFonts w:ascii="Verdana" w:hAnsi="Verdana"/>
        </w:rPr>
      </w:pPr>
      <w:r w:rsidRPr="00C71D09">
        <w:rPr>
          <w:rStyle w:val="Rimandonotaapidipagina"/>
          <w:rFonts w:ascii="Verdana" w:hAnsi="Verdana"/>
        </w:rPr>
        <w:footnoteRef/>
      </w:r>
      <w:r w:rsidRPr="00C71D09">
        <w:rPr>
          <w:rFonts w:ascii="Verdana" w:hAnsi="Verdana"/>
        </w:rPr>
        <w:t xml:space="preserve"> Il </w:t>
      </w:r>
      <w:r w:rsidRPr="00C71D09">
        <w:rPr>
          <w:rFonts w:ascii="Verdana" w:hAnsi="Verdana"/>
          <w:i/>
        </w:rPr>
        <w:t>diktat</w:t>
      </w:r>
      <w:r w:rsidRPr="00C71D09">
        <w:rPr>
          <w:rFonts w:ascii="Verdana" w:hAnsi="Verdana"/>
        </w:rPr>
        <w:t xml:space="preserve"> rivolto all’Italia dalla Corte di Strasburgo muoveva</w:t>
      </w:r>
      <w:r w:rsidR="006A7212">
        <w:rPr>
          <w:rFonts w:ascii="Verdana" w:hAnsi="Verdana"/>
        </w:rPr>
        <w:t>, tra l’altro,</w:t>
      </w:r>
      <w:r w:rsidRPr="00C71D09">
        <w:rPr>
          <w:rFonts w:ascii="Verdana" w:hAnsi="Verdana"/>
        </w:rPr>
        <w:t xml:space="preserve"> dall’assunto che l’ordinamento italiano non contemplava uno strumento giurisdizionale di ripristino di un diritto della pers</w:t>
      </w:r>
      <w:r w:rsidR="006A7212">
        <w:rPr>
          <w:rFonts w:ascii="Verdana" w:hAnsi="Verdana"/>
        </w:rPr>
        <w:t>ona detenuta violato, dotato della necessaria effettività</w:t>
      </w:r>
      <w:r w:rsidRPr="00C71D09">
        <w:rPr>
          <w:rFonts w:ascii="Verdana" w:hAnsi="Verdana"/>
        </w:rPr>
        <w:t>, idoneo a determinare la cessazione della condotta illecita eventualmente accertata ed a consentire la riparazione del conseguente pregiudizio, assicurando ai danneggiati una riparazione diretta ed appropriata de</w:t>
      </w:r>
      <w:r w:rsidR="006A7212">
        <w:rPr>
          <w:rFonts w:ascii="Verdana" w:hAnsi="Verdana"/>
        </w:rPr>
        <w:t>lla violazione dei</w:t>
      </w:r>
      <w:r w:rsidRPr="00C71D09">
        <w:rPr>
          <w:rFonts w:ascii="Verdana" w:hAnsi="Verdana"/>
        </w:rPr>
        <w:t xml:space="preserve"> diritti sanciti dall’art. 3 della Convenzione.</w:t>
      </w:r>
    </w:p>
  </w:footnote>
  <w:footnote w:id="4">
    <w:p w:rsidR="00A71485" w:rsidRPr="00C71D09" w:rsidRDefault="00A71485" w:rsidP="00A71485">
      <w:pPr>
        <w:pStyle w:val="Testonotaapidipagina"/>
        <w:jc w:val="both"/>
        <w:rPr>
          <w:rFonts w:ascii="Verdana" w:hAnsi="Verdana"/>
        </w:rPr>
      </w:pPr>
      <w:r w:rsidRPr="00C71D09">
        <w:rPr>
          <w:rStyle w:val="Rimandonotaapidipagina"/>
          <w:rFonts w:ascii="Verdana" w:hAnsi="Verdana"/>
        </w:rPr>
        <w:footnoteRef/>
      </w:r>
      <w:r w:rsidRPr="00C71D09">
        <w:rPr>
          <w:rFonts w:ascii="Verdana" w:hAnsi="Verdana"/>
        </w:rPr>
        <w:t xml:space="preserve"> Per un’ampia rassegna delle tesi interpretative circa la rilevanza </w:t>
      </w:r>
      <w:proofErr w:type="gramStart"/>
      <w:r w:rsidRPr="00C71D09">
        <w:rPr>
          <w:rFonts w:ascii="Verdana" w:hAnsi="Verdana"/>
        </w:rPr>
        <w:t>dell’ “</w:t>
      </w:r>
      <w:proofErr w:type="gramEnd"/>
      <w:r w:rsidRPr="00C71D09">
        <w:rPr>
          <w:rFonts w:ascii="Verdana" w:hAnsi="Verdana"/>
        </w:rPr>
        <w:t xml:space="preserve">attualità” del pregiudizio subìto, si rinvia alla recente sintesi di </w:t>
      </w:r>
      <w:r w:rsidRPr="00C71D09">
        <w:rPr>
          <w:rFonts w:ascii="Verdana" w:hAnsi="Verdana"/>
          <w:bCs/>
        </w:rPr>
        <w:t xml:space="preserve">DEGANELLO, </w:t>
      </w:r>
      <w:r w:rsidRPr="00C71D09">
        <w:rPr>
          <w:rFonts w:ascii="Verdana" w:hAnsi="Verdana"/>
          <w:bCs/>
          <w:i/>
        </w:rPr>
        <w:t xml:space="preserve">I rimedi risarcitori, </w:t>
      </w:r>
      <w:r w:rsidRPr="00C71D09">
        <w:rPr>
          <w:rFonts w:ascii="Verdana" w:hAnsi="Verdana"/>
          <w:bCs/>
        </w:rPr>
        <w:t xml:space="preserve">in </w:t>
      </w:r>
      <w:r w:rsidRPr="00C71D09">
        <w:rPr>
          <w:rFonts w:ascii="Verdana" w:hAnsi="Verdana"/>
          <w:bCs/>
          <w:i/>
        </w:rPr>
        <w:t xml:space="preserve">Sovraffollamento carcerario e diritti dei detenuti, </w:t>
      </w:r>
      <w:r w:rsidR="00D90584">
        <w:rPr>
          <w:rFonts w:ascii="Verdana" w:hAnsi="Verdana"/>
          <w:bCs/>
        </w:rPr>
        <w:t>a cura di CAPRIOLI E</w:t>
      </w:r>
      <w:r w:rsidR="00D90584" w:rsidRPr="00C71D09">
        <w:rPr>
          <w:rFonts w:ascii="Verdana" w:hAnsi="Verdana"/>
          <w:bCs/>
        </w:rPr>
        <w:t xml:space="preserve"> SCOMPARIN</w:t>
      </w:r>
      <w:r w:rsidRPr="00C71D09">
        <w:rPr>
          <w:rFonts w:ascii="Verdana" w:hAnsi="Verdana"/>
          <w:bCs/>
        </w:rPr>
        <w:t xml:space="preserve">, </w:t>
      </w:r>
      <w:proofErr w:type="spellStart"/>
      <w:r w:rsidR="00133220">
        <w:rPr>
          <w:rFonts w:ascii="Verdana" w:hAnsi="Verdana"/>
          <w:bCs/>
        </w:rPr>
        <w:t>Giappichelli</w:t>
      </w:r>
      <w:proofErr w:type="spellEnd"/>
      <w:r w:rsidR="00133220">
        <w:rPr>
          <w:rFonts w:ascii="Verdana" w:hAnsi="Verdana"/>
          <w:bCs/>
        </w:rPr>
        <w:t>,</w:t>
      </w:r>
      <w:r w:rsidRPr="00C71D09">
        <w:rPr>
          <w:rFonts w:ascii="Verdana" w:hAnsi="Verdana"/>
          <w:bCs/>
        </w:rPr>
        <w:t xml:space="preserve"> 2015</w:t>
      </w:r>
      <w:r w:rsidR="002A03F7">
        <w:rPr>
          <w:rFonts w:ascii="Verdana" w:hAnsi="Verdana"/>
          <w:bCs/>
        </w:rPr>
        <w:t>, 257</w:t>
      </w:r>
      <w:r w:rsidRPr="00C71D09">
        <w:rPr>
          <w:rFonts w:ascii="Verdana" w:hAnsi="Verdana"/>
          <w:bCs/>
        </w:rPr>
        <w:t>.</w:t>
      </w:r>
    </w:p>
  </w:footnote>
  <w:footnote w:id="5">
    <w:p w:rsidR="00093E8C" w:rsidRPr="00C71D09" w:rsidRDefault="00093E8C" w:rsidP="003D5860">
      <w:pPr>
        <w:pStyle w:val="Testonotaapidipagina"/>
        <w:jc w:val="both"/>
        <w:rPr>
          <w:rFonts w:ascii="Verdana" w:hAnsi="Verdana"/>
        </w:rPr>
      </w:pPr>
      <w:r w:rsidRPr="00C71D09">
        <w:rPr>
          <w:rStyle w:val="Rimandonotaapidipagina"/>
          <w:rFonts w:ascii="Verdana" w:hAnsi="Verdana"/>
        </w:rPr>
        <w:footnoteRef/>
      </w:r>
      <w:r w:rsidR="00133220">
        <w:rPr>
          <w:rFonts w:ascii="Verdana" w:hAnsi="Verdana"/>
          <w:bCs/>
        </w:rPr>
        <w:t xml:space="preserve"> </w:t>
      </w:r>
      <w:proofErr w:type="spellStart"/>
      <w:r w:rsidRPr="00C71D09">
        <w:rPr>
          <w:rFonts w:ascii="Verdana" w:hAnsi="Verdana"/>
          <w:bCs/>
        </w:rPr>
        <w:t>Mag</w:t>
      </w:r>
      <w:proofErr w:type="spellEnd"/>
      <w:r w:rsidRPr="00C71D09">
        <w:rPr>
          <w:rFonts w:ascii="Verdana" w:hAnsi="Verdana"/>
          <w:bCs/>
        </w:rPr>
        <w:t>.</w:t>
      </w:r>
      <w:r w:rsidR="006A7212">
        <w:rPr>
          <w:rFonts w:ascii="Verdana" w:hAnsi="Verdana"/>
          <w:bCs/>
        </w:rPr>
        <w:t xml:space="preserve"> </w:t>
      </w:r>
      <w:proofErr w:type="spellStart"/>
      <w:r w:rsidR="006A7212">
        <w:rPr>
          <w:rFonts w:ascii="Verdana" w:hAnsi="Verdana"/>
          <w:bCs/>
        </w:rPr>
        <w:t>S</w:t>
      </w:r>
      <w:r w:rsidRPr="00C71D09">
        <w:rPr>
          <w:rFonts w:ascii="Verdana" w:hAnsi="Verdana"/>
          <w:bCs/>
        </w:rPr>
        <w:t>orv</w:t>
      </w:r>
      <w:proofErr w:type="spellEnd"/>
      <w:r w:rsidRPr="00C71D09">
        <w:rPr>
          <w:rFonts w:ascii="Verdana" w:hAnsi="Verdana"/>
          <w:bCs/>
        </w:rPr>
        <w:t>. Vercelli</w:t>
      </w:r>
      <w:r w:rsidR="006A7212">
        <w:rPr>
          <w:rFonts w:ascii="Verdana" w:hAnsi="Verdana"/>
          <w:bCs/>
        </w:rPr>
        <w:t xml:space="preserve">, </w:t>
      </w:r>
      <w:proofErr w:type="spellStart"/>
      <w:r w:rsidR="006A7212">
        <w:rPr>
          <w:rFonts w:ascii="Verdana" w:hAnsi="Verdana"/>
          <w:bCs/>
        </w:rPr>
        <w:t>ord</w:t>
      </w:r>
      <w:proofErr w:type="spellEnd"/>
      <w:r w:rsidR="006A7212">
        <w:rPr>
          <w:rFonts w:ascii="Verdana" w:hAnsi="Verdana"/>
          <w:bCs/>
        </w:rPr>
        <w:t>.</w:t>
      </w:r>
      <w:r w:rsidRPr="00C71D09">
        <w:rPr>
          <w:rFonts w:ascii="Verdana" w:hAnsi="Verdana"/>
          <w:bCs/>
        </w:rPr>
        <w:t xml:space="preserve"> 24</w:t>
      </w:r>
      <w:r w:rsidR="006A7212">
        <w:rPr>
          <w:rFonts w:ascii="Verdana" w:hAnsi="Verdana"/>
          <w:bCs/>
        </w:rPr>
        <w:t xml:space="preserve"> settembre </w:t>
      </w:r>
      <w:r w:rsidR="00D90584">
        <w:rPr>
          <w:rFonts w:ascii="Verdana" w:hAnsi="Verdana"/>
          <w:bCs/>
        </w:rPr>
        <w:t>2014</w:t>
      </w:r>
      <w:r w:rsidR="003D5860" w:rsidRPr="00C71D09">
        <w:rPr>
          <w:rFonts w:ascii="Verdana" w:hAnsi="Verdana"/>
          <w:bCs/>
        </w:rPr>
        <w:t xml:space="preserve">; </w:t>
      </w:r>
      <w:proofErr w:type="spellStart"/>
      <w:r w:rsidR="003D5860" w:rsidRPr="00C71D09">
        <w:rPr>
          <w:rFonts w:ascii="Verdana" w:hAnsi="Verdana"/>
          <w:bCs/>
        </w:rPr>
        <w:t>Mag</w:t>
      </w:r>
      <w:proofErr w:type="spellEnd"/>
      <w:r w:rsidR="003D5860" w:rsidRPr="00C71D09">
        <w:rPr>
          <w:rFonts w:ascii="Verdana" w:hAnsi="Verdana"/>
          <w:bCs/>
        </w:rPr>
        <w:t xml:space="preserve">. </w:t>
      </w:r>
      <w:proofErr w:type="spellStart"/>
      <w:r w:rsidR="003D5860" w:rsidRPr="00C71D09">
        <w:rPr>
          <w:rFonts w:ascii="Verdana" w:hAnsi="Verdana"/>
          <w:bCs/>
        </w:rPr>
        <w:t>S</w:t>
      </w:r>
      <w:r w:rsidRPr="00C71D09">
        <w:rPr>
          <w:rFonts w:ascii="Verdana" w:hAnsi="Verdana"/>
          <w:bCs/>
        </w:rPr>
        <w:t>orv</w:t>
      </w:r>
      <w:proofErr w:type="spellEnd"/>
      <w:r w:rsidRPr="00C71D09">
        <w:rPr>
          <w:rFonts w:ascii="Verdana" w:hAnsi="Verdana"/>
          <w:bCs/>
        </w:rPr>
        <w:t xml:space="preserve">. Alessandria </w:t>
      </w:r>
      <w:proofErr w:type="spellStart"/>
      <w:r w:rsidR="006A7212">
        <w:rPr>
          <w:rFonts w:ascii="Verdana" w:hAnsi="Verdana"/>
          <w:bCs/>
        </w:rPr>
        <w:t>ord</w:t>
      </w:r>
      <w:proofErr w:type="spellEnd"/>
      <w:r w:rsidR="006A7212">
        <w:rPr>
          <w:rFonts w:ascii="Verdana" w:hAnsi="Verdana"/>
          <w:bCs/>
        </w:rPr>
        <w:t xml:space="preserve">. </w:t>
      </w:r>
      <w:r w:rsidRPr="00C71D09">
        <w:rPr>
          <w:rFonts w:ascii="Verdana" w:hAnsi="Verdana"/>
          <w:bCs/>
        </w:rPr>
        <w:t>26</w:t>
      </w:r>
      <w:r w:rsidR="006A7212">
        <w:rPr>
          <w:rFonts w:ascii="Verdana" w:hAnsi="Verdana"/>
          <w:bCs/>
        </w:rPr>
        <w:t xml:space="preserve"> settembre </w:t>
      </w:r>
      <w:r w:rsidRPr="00C71D09">
        <w:rPr>
          <w:rFonts w:ascii="Verdana" w:hAnsi="Verdana"/>
          <w:bCs/>
        </w:rPr>
        <w:t>2014,</w:t>
      </w:r>
      <w:r w:rsidR="00D90584">
        <w:rPr>
          <w:rFonts w:ascii="Verdana" w:hAnsi="Verdana"/>
          <w:bCs/>
        </w:rPr>
        <w:t xml:space="preserve"> entrambe in </w:t>
      </w:r>
      <w:r w:rsidRPr="00C71D09">
        <w:rPr>
          <w:rFonts w:ascii="Verdana" w:hAnsi="Verdana"/>
          <w:bCs/>
          <w:i/>
        </w:rPr>
        <w:t>www.personaedanno.it</w:t>
      </w:r>
      <w:r w:rsidR="006A7212">
        <w:rPr>
          <w:rFonts w:ascii="Verdana" w:hAnsi="Verdana"/>
          <w:bCs/>
          <w:i/>
        </w:rPr>
        <w:t>.</w:t>
      </w:r>
    </w:p>
  </w:footnote>
  <w:footnote w:id="6">
    <w:p w:rsidR="00093E8C" w:rsidRPr="00C71D09" w:rsidRDefault="00093E8C" w:rsidP="008A07F1">
      <w:pPr>
        <w:pStyle w:val="Testonotaapidipagina"/>
        <w:jc w:val="both"/>
        <w:rPr>
          <w:rFonts w:ascii="Verdana" w:hAnsi="Verdana"/>
        </w:rPr>
      </w:pPr>
      <w:r w:rsidRPr="00C71D09">
        <w:rPr>
          <w:rStyle w:val="Rimandonotaapidipagina"/>
          <w:rFonts w:ascii="Verdana" w:hAnsi="Verdana"/>
        </w:rPr>
        <w:footnoteRef/>
      </w:r>
      <w:r w:rsidRPr="00C71D09">
        <w:rPr>
          <w:rFonts w:ascii="Verdana" w:hAnsi="Verdana"/>
        </w:rPr>
        <w:t xml:space="preserve"> </w:t>
      </w:r>
      <w:r w:rsidR="006A7212">
        <w:rPr>
          <w:rFonts w:ascii="Verdana" w:hAnsi="Verdana"/>
        </w:rPr>
        <w:t xml:space="preserve">L’espressione è di </w:t>
      </w:r>
      <w:r w:rsidRPr="00C71D09">
        <w:rPr>
          <w:rFonts w:ascii="Verdana" w:hAnsi="Verdana"/>
        </w:rPr>
        <w:t xml:space="preserve">GIOSTRA, </w:t>
      </w:r>
      <w:r w:rsidR="006A7212" w:rsidRPr="00C71D09">
        <w:rPr>
          <w:rFonts w:ascii="Verdana" w:hAnsi="Verdana"/>
          <w:i/>
        </w:rPr>
        <w:t xml:space="preserve">sub </w:t>
      </w:r>
      <w:r w:rsidR="006A7212" w:rsidRPr="00C71D09">
        <w:rPr>
          <w:rFonts w:ascii="Verdana" w:hAnsi="Verdana"/>
        </w:rPr>
        <w:t>art. 35-</w:t>
      </w:r>
      <w:r w:rsidR="006A7212" w:rsidRPr="00C71D09">
        <w:rPr>
          <w:rFonts w:ascii="Verdana" w:hAnsi="Verdana"/>
          <w:i/>
        </w:rPr>
        <w:t>ter,</w:t>
      </w:r>
      <w:r w:rsidR="006A7212" w:rsidRPr="00C71D09">
        <w:rPr>
          <w:rFonts w:ascii="Verdana" w:hAnsi="Verdana"/>
        </w:rPr>
        <w:t xml:space="preserve"> </w:t>
      </w:r>
      <w:r w:rsidR="008415C0" w:rsidRPr="00C71D09">
        <w:rPr>
          <w:rFonts w:ascii="Verdana" w:hAnsi="Verdana"/>
          <w:i/>
        </w:rPr>
        <w:t>Ord</w:t>
      </w:r>
      <w:r w:rsidR="008415C0">
        <w:rPr>
          <w:rFonts w:ascii="Verdana" w:hAnsi="Verdana"/>
          <w:i/>
        </w:rPr>
        <w:t xml:space="preserve">inamento </w:t>
      </w:r>
      <w:r w:rsidR="008415C0" w:rsidRPr="00C71D09">
        <w:rPr>
          <w:rFonts w:ascii="Verdana" w:hAnsi="Verdana"/>
          <w:i/>
        </w:rPr>
        <w:t>Penit</w:t>
      </w:r>
      <w:r w:rsidR="008415C0">
        <w:rPr>
          <w:rFonts w:ascii="Verdana" w:hAnsi="Verdana"/>
          <w:i/>
        </w:rPr>
        <w:t>enziario commentato,</w:t>
      </w:r>
      <w:r w:rsidR="008415C0">
        <w:rPr>
          <w:rFonts w:ascii="Verdana" w:hAnsi="Verdana"/>
        </w:rPr>
        <w:t xml:space="preserve"> a cura di </w:t>
      </w:r>
      <w:r w:rsidR="00B74663" w:rsidRPr="00C71D09">
        <w:rPr>
          <w:rFonts w:ascii="Verdana" w:hAnsi="Verdana"/>
        </w:rPr>
        <w:t>Della Casa</w:t>
      </w:r>
      <w:r w:rsidR="00B74663">
        <w:rPr>
          <w:rFonts w:ascii="Verdana" w:hAnsi="Verdana"/>
        </w:rPr>
        <w:t>-</w:t>
      </w:r>
      <w:proofErr w:type="spellStart"/>
      <w:proofErr w:type="gramStart"/>
      <w:r w:rsidR="00B74663" w:rsidRPr="00C71D09">
        <w:rPr>
          <w:rFonts w:ascii="Verdana" w:hAnsi="Verdana"/>
        </w:rPr>
        <w:t>Giostra</w:t>
      </w:r>
      <w:r w:rsidR="006A7212" w:rsidRPr="00C71D09">
        <w:rPr>
          <w:rFonts w:ascii="Verdana" w:hAnsi="Verdana"/>
        </w:rPr>
        <w:t>,</w:t>
      </w:r>
      <w:r w:rsidR="006A7212" w:rsidRPr="00C71D09">
        <w:rPr>
          <w:rFonts w:ascii="Verdana" w:hAnsi="Verdana"/>
          <w:i/>
        </w:rPr>
        <w:t>.,</w:t>
      </w:r>
      <w:proofErr w:type="gramEnd"/>
      <w:r w:rsidR="006A7212" w:rsidRPr="00C71D09">
        <w:rPr>
          <w:rFonts w:ascii="Verdana" w:hAnsi="Verdana"/>
        </w:rPr>
        <w:t>V</w:t>
      </w:r>
      <w:proofErr w:type="spellEnd"/>
      <w:r w:rsidR="006A7212" w:rsidRPr="00C71D09">
        <w:rPr>
          <w:rFonts w:ascii="Verdana" w:hAnsi="Verdana"/>
        </w:rPr>
        <w:t>,</w:t>
      </w:r>
      <w:r w:rsidR="00133220">
        <w:rPr>
          <w:rFonts w:ascii="Verdana" w:hAnsi="Verdana"/>
        </w:rPr>
        <w:t xml:space="preserve"> CEDAM</w:t>
      </w:r>
      <w:r w:rsidR="006A7212" w:rsidRPr="00C71D09">
        <w:rPr>
          <w:rFonts w:ascii="Verdana" w:hAnsi="Verdana"/>
        </w:rPr>
        <w:t xml:space="preserve"> 2015</w:t>
      </w:r>
      <w:r w:rsidR="006A7212">
        <w:rPr>
          <w:rFonts w:ascii="Verdana" w:hAnsi="Verdana"/>
        </w:rPr>
        <w:t>,</w:t>
      </w:r>
      <w:r w:rsidR="00133220">
        <w:rPr>
          <w:rFonts w:ascii="Verdana" w:hAnsi="Verdana"/>
        </w:rPr>
        <w:t xml:space="preserve"> p.</w:t>
      </w:r>
      <w:r w:rsidRPr="00C71D09">
        <w:rPr>
          <w:rFonts w:ascii="Verdana" w:hAnsi="Verdana"/>
        </w:rPr>
        <w:t>422</w:t>
      </w:r>
      <w:r w:rsidR="008A07F1" w:rsidRPr="00C71D09">
        <w:rPr>
          <w:rFonts w:ascii="Verdana" w:hAnsi="Verdana"/>
        </w:rPr>
        <w:t xml:space="preserve">. Tale </w:t>
      </w:r>
      <w:r w:rsidR="008A07F1" w:rsidRPr="00C71D09">
        <w:rPr>
          <w:rFonts w:ascii="Verdana" w:hAnsi="Verdana"/>
          <w:bCs/>
        </w:rPr>
        <w:t xml:space="preserve">prospettiva, restando ancorata al dato testuale, rispetta l’esigenza di una interpretazione stretta dell’operatività dell’istituto (art.14 </w:t>
      </w:r>
      <w:proofErr w:type="spellStart"/>
      <w:r w:rsidR="008A07F1" w:rsidRPr="00C71D09">
        <w:rPr>
          <w:rFonts w:ascii="Verdana" w:hAnsi="Verdana"/>
          <w:bCs/>
        </w:rPr>
        <w:t>prel</w:t>
      </w:r>
      <w:proofErr w:type="spellEnd"/>
      <w:r w:rsidR="008A07F1" w:rsidRPr="00C71D09">
        <w:rPr>
          <w:rFonts w:ascii="Verdana" w:hAnsi="Verdana"/>
          <w:bCs/>
        </w:rPr>
        <w:t xml:space="preserve">.) a fronte della natura eccezionale dell’attribuzione di una competenza risarcitoria di natura civilistica ad un giudice penale, coerente con i principi che governano la distribuzione della giurisdizione e della competenza in relazione alla materia risarcitoria e con la natura della </w:t>
      </w:r>
      <w:proofErr w:type="spellStart"/>
      <w:r w:rsidR="00D90584" w:rsidRPr="00D90584">
        <w:rPr>
          <w:rFonts w:ascii="Verdana" w:hAnsi="Verdana"/>
          <w:bCs/>
          <w:i/>
        </w:rPr>
        <w:t>cognitio</w:t>
      </w:r>
      <w:proofErr w:type="spellEnd"/>
      <w:r w:rsidR="00D90584">
        <w:rPr>
          <w:rFonts w:ascii="Verdana" w:hAnsi="Verdana"/>
          <w:bCs/>
        </w:rPr>
        <w:t xml:space="preserve"> </w:t>
      </w:r>
      <w:r w:rsidR="008A07F1" w:rsidRPr="00C71D09">
        <w:rPr>
          <w:rFonts w:ascii="Verdana" w:hAnsi="Verdana"/>
          <w:bCs/>
        </w:rPr>
        <w:t xml:space="preserve">attribuita alla magistratura di sorveglianza &lt;&lt; … giudice che sovrintende all'esecuzione della pena (dato confermato dalla stessa collocazione della figura all'interno del Libro decimo del Cod. </w:t>
      </w:r>
      <w:proofErr w:type="spellStart"/>
      <w:r w:rsidR="008A07F1" w:rsidRPr="00C71D09">
        <w:rPr>
          <w:rFonts w:ascii="Verdana" w:hAnsi="Verdana"/>
          <w:bCs/>
        </w:rPr>
        <w:t>Proc</w:t>
      </w:r>
      <w:proofErr w:type="spellEnd"/>
      <w:r w:rsidR="008A07F1" w:rsidRPr="00C71D09">
        <w:rPr>
          <w:rFonts w:ascii="Verdana" w:hAnsi="Verdana"/>
          <w:bCs/>
        </w:rPr>
        <w:t xml:space="preserve">. Pen.). Non può dirsi, dunque, che l'ordinamento disegni un suo potere generale di </w:t>
      </w:r>
      <w:proofErr w:type="spellStart"/>
      <w:r w:rsidR="008A07F1" w:rsidRPr="00C71D09">
        <w:rPr>
          <w:rFonts w:ascii="Verdana" w:hAnsi="Verdana"/>
          <w:bCs/>
        </w:rPr>
        <w:t>jus</w:t>
      </w:r>
      <w:proofErr w:type="spellEnd"/>
      <w:r w:rsidR="008A07F1" w:rsidRPr="00C71D09">
        <w:rPr>
          <w:rFonts w:ascii="Verdana" w:hAnsi="Verdana"/>
          <w:bCs/>
        </w:rPr>
        <w:t xml:space="preserve"> </w:t>
      </w:r>
      <w:proofErr w:type="spellStart"/>
      <w:r w:rsidR="008A07F1" w:rsidRPr="00C71D09">
        <w:rPr>
          <w:rFonts w:ascii="Verdana" w:hAnsi="Verdana"/>
          <w:bCs/>
        </w:rPr>
        <w:t>dicere</w:t>
      </w:r>
      <w:proofErr w:type="spellEnd"/>
      <w:r w:rsidR="008A07F1" w:rsidRPr="00C71D09">
        <w:rPr>
          <w:rFonts w:ascii="Verdana" w:hAnsi="Verdana"/>
          <w:bCs/>
        </w:rPr>
        <w:t xml:space="preserve"> per qualsiasi questione afferente i diritti dei detenuti, pur collegati all'esecuzione della pena. &gt;&gt; (Sez. I, 15</w:t>
      </w:r>
      <w:r w:rsidR="006A7212">
        <w:rPr>
          <w:rFonts w:ascii="Verdana" w:hAnsi="Verdana"/>
          <w:bCs/>
        </w:rPr>
        <w:t xml:space="preserve"> gennaio </w:t>
      </w:r>
      <w:r w:rsidR="00133220">
        <w:rPr>
          <w:rFonts w:ascii="Verdana" w:hAnsi="Verdana"/>
          <w:bCs/>
        </w:rPr>
        <w:t>2013, n.4772</w:t>
      </w:r>
      <w:r w:rsidR="008A07F1" w:rsidRPr="00C71D09">
        <w:rPr>
          <w:rFonts w:ascii="Verdana" w:hAnsi="Verdana"/>
          <w:bCs/>
        </w:rPr>
        <w:t xml:space="preserve">, </w:t>
      </w:r>
      <w:r w:rsidR="00133220" w:rsidRPr="001C7427">
        <w:rPr>
          <w:sz w:val="24"/>
          <w:szCs w:val="24"/>
        </w:rPr>
        <w:t xml:space="preserve">in </w:t>
      </w:r>
      <w:r w:rsidR="00133220" w:rsidRPr="001C7427">
        <w:rPr>
          <w:i/>
          <w:sz w:val="24"/>
          <w:szCs w:val="24"/>
        </w:rPr>
        <w:t xml:space="preserve">C.E.D. </w:t>
      </w:r>
      <w:proofErr w:type="spellStart"/>
      <w:r w:rsidR="00133220" w:rsidRPr="001C7427">
        <w:rPr>
          <w:i/>
          <w:sz w:val="24"/>
          <w:szCs w:val="24"/>
        </w:rPr>
        <w:t>Cass</w:t>
      </w:r>
      <w:proofErr w:type="spellEnd"/>
      <w:r w:rsidR="00133220" w:rsidRPr="006A7212">
        <w:rPr>
          <w:rFonts w:ascii="Verdana" w:hAnsi="Verdana"/>
          <w:bCs/>
          <w:i/>
        </w:rPr>
        <w:t xml:space="preserve"> </w:t>
      </w:r>
      <w:r w:rsidR="00133220">
        <w:rPr>
          <w:rFonts w:ascii="Verdana" w:hAnsi="Verdana"/>
          <w:bCs/>
        </w:rPr>
        <w:t>n.</w:t>
      </w:r>
      <w:r w:rsidR="008A07F1" w:rsidRPr="00C71D09">
        <w:rPr>
          <w:rFonts w:ascii="Verdana" w:hAnsi="Verdana"/>
          <w:bCs/>
        </w:rPr>
        <w:t>254271).</w:t>
      </w:r>
    </w:p>
  </w:footnote>
  <w:footnote w:id="7">
    <w:p w:rsidR="00093E8C" w:rsidRPr="00C71D09" w:rsidRDefault="00093E8C" w:rsidP="00D15230">
      <w:pPr>
        <w:jc w:val="both"/>
        <w:rPr>
          <w:rFonts w:ascii="Verdana" w:hAnsi="Verdana"/>
          <w:bCs/>
          <w:sz w:val="20"/>
          <w:szCs w:val="20"/>
        </w:rPr>
      </w:pPr>
      <w:r w:rsidRPr="00C71D09">
        <w:rPr>
          <w:rStyle w:val="Rimandonotaapidipagina"/>
          <w:rFonts w:ascii="Verdana" w:hAnsi="Verdana"/>
          <w:sz w:val="20"/>
          <w:szCs w:val="20"/>
        </w:rPr>
        <w:footnoteRef/>
      </w:r>
      <w:r w:rsidRPr="00C71D09">
        <w:rPr>
          <w:rFonts w:ascii="Verdana" w:hAnsi="Verdana"/>
          <w:sz w:val="20"/>
          <w:szCs w:val="20"/>
        </w:rPr>
        <w:t xml:space="preserve"> DELLA BELLA</w:t>
      </w:r>
      <w:r w:rsidR="00D90584">
        <w:rPr>
          <w:rFonts w:ascii="Verdana" w:hAnsi="Verdana"/>
          <w:sz w:val="20"/>
          <w:szCs w:val="20"/>
        </w:rPr>
        <w:t>,</w:t>
      </w:r>
      <w:r w:rsidR="00D15230" w:rsidRPr="00C71D09">
        <w:rPr>
          <w:rFonts w:ascii="Verdana" w:hAnsi="Verdana"/>
          <w:bCs/>
          <w:i/>
          <w:sz w:val="20"/>
          <w:szCs w:val="20"/>
        </w:rPr>
        <w:t xml:space="preserve"> Il risarcimento per i detenuti vittime di sovraffollamento: prima lettura del nuovo rimedio introdotto dal </w:t>
      </w:r>
      <w:proofErr w:type="spellStart"/>
      <w:r w:rsidR="00D15230" w:rsidRPr="00C71D09">
        <w:rPr>
          <w:rFonts w:ascii="Verdana" w:hAnsi="Verdana"/>
          <w:bCs/>
          <w:i/>
          <w:sz w:val="20"/>
          <w:szCs w:val="20"/>
        </w:rPr>
        <w:t>d.l.</w:t>
      </w:r>
      <w:proofErr w:type="spellEnd"/>
      <w:r w:rsidR="00D15230" w:rsidRPr="00C71D09">
        <w:rPr>
          <w:rFonts w:ascii="Verdana" w:hAnsi="Verdana"/>
          <w:bCs/>
          <w:i/>
          <w:sz w:val="20"/>
          <w:szCs w:val="20"/>
        </w:rPr>
        <w:t xml:space="preserve"> 92/2014, </w:t>
      </w:r>
      <w:proofErr w:type="spellStart"/>
      <w:r w:rsidR="00D15230" w:rsidRPr="00C71D09">
        <w:rPr>
          <w:rFonts w:ascii="Verdana" w:hAnsi="Verdana"/>
          <w:bCs/>
          <w:i/>
          <w:sz w:val="20"/>
          <w:szCs w:val="20"/>
        </w:rPr>
        <w:t>Dir</w:t>
      </w:r>
      <w:r w:rsidR="008E2CB0">
        <w:rPr>
          <w:rFonts w:ascii="Verdana" w:hAnsi="Verdana"/>
          <w:bCs/>
          <w:i/>
          <w:sz w:val="20"/>
          <w:szCs w:val="20"/>
        </w:rPr>
        <w:t>.</w:t>
      </w:r>
      <w:r w:rsidR="00D15230" w:rsidRPr="00C71D09">
        <w:rPr>
          <w:rFonts w:ascii="Verdana" w:hAnsi="Verdana"/>
          <w:bCs/>
          <w:i/>
          <w:sz w:val="20"/>
          <w:szCs w:val="20"/>
        </w:rPr>
        <w:t>Pen</w:t>
      </w:r>
      <w:r w:rsidR="008E2CB0">
        <w:rPr>
          <w:rFonts w:ascii="Verdana" w:hAnsi="Verdana"/>
          <w:bCs/>
          <w:i/>
          <w:sz w:val="20"/>
          <w:szCs w:val="20"/>
        </w:rPr>
        <w:t>.</w:t>
      </w:r>
      <w:r w:rsidR="00D15230" w:rsidRPr="00C71D09">
        <w:rPr>
          <w:rFonts w:ascii="Verdana" w:hAnsi="Verdana"/>
          <w:bCs/>
          <w:i/>
          <w:sz w:val="20"/>
          <w:szCs w:val="20"/>
        </w:rPr>
        <w:t>Cont</w:t>
      </w:r>
      <w:proofErr w:type="spellEnd"/>
      <w:r w:rsidR="008E2CB0">
        <w:rPr>
          <w:rFonts w:ascii="Verdana" w:hAnsi="Verdana"/>
          <w:bCs/>
          <w:i/>
          <w:sz w:val="20"/>
          <w:szCs w:val="20"/>
        </w:rPr>
        <w:t>.</w:t>
      </w:r>
      <w:r w:rsidR="00D15230" w:rsidRPr="00C71D09">
        <w:rPr>
          <w:rFonts w:ascii="Verdana" w:hAnsi="Verdana"/>
          <w:bCs/>
          <w:i/>
          <w:sz w:val="20"/>
          <w:szCs w:val="20"/>
        </w:rPr>
        <w:t xml:space="preserve"> </w:t>
      </w:r>
      <w:r w:rsidR="00D15230" w:rsidRPr="00C71D09">
        <w:rPr>
          <w:rFonts w:ascii="Verdana" w:hAnsi="Verdana"/>
          <w:bCs/>
          <w:sz w:val="20"/>
          <w:szCs w:val="20"/>
        </w:rPr>
        <w:t>online,</w:t>
      </w:r>
      <w:r w:rsidR="00D15230" w:rsidRPr="00C71D09">
        <w:rPr>
          <w:rFonts w:ascii="Verdana" w:hAnsi="Verdana"/>
          <w:bCs/>
          <w:i/>
          <w:sz w:val="20"/>
          <w:szCs w:val="20"/>
        </w:rPr>
        <w:t xml:space="preserve"> </w:t>
      </w:r>
      <w:r w:rsidR="00D15230" w:rsidRPr="00C71D09">
        <w:rPr>
          <w:rFonts w:ascii="Verdana" w:hAnsi="Verdana"/>
          <w:bCs/>
          <w:sz w:val="20"/>
          <w:szCs w:val="20"/>
        </w:rPr>
        <w:t>13 Ottobre 2014</w:t>
      </w:r>
      <w:r w:rsidRPr="00C71D09">
        <w:rPr>
          <w:rFonts w:ascii="Verdana" w:hAnsi="Verdana"/>
          <w:sz w:val="20"/>
          <w:szCs w:val="20"/>
        </w:rPr>
        <w:t>,</w:t>
      </w:r>
      <w:r w:rsidR="00D15230" w:rsidRPr="00C71D09">
        <w:rPr>
          <w:rFonts w:ascii="Verdana" w:hAnsi="Verdana"/>
          <w:sz w:val="20"/>
          <w:szCs w:val="20"/>
        </w:rPr>
        <w:t xml:space="preserve"> </w:t>
      </w:r>
      <w:r w:rsidRPr="00C71D09">
        <w:rPr>
          <w:rFonts w:ascii="Verdana" w:hAnsi="Verdana"/>
          <w:sz w:val="20"/>
          <w:szCs w:val="20"/>
        </w:rPr>
        <w:t>§12</w:t>
      </w:r>
      <w:r w:rsidRPr="00C71D09">
        <w:rPr>
          <w:rFonts w:ascii="Verdana" w:hAnsi="Verdana"/>
          <w:b/>
          <w:bCs/>
          <w:sz w:val="20"/>
          <w:szCs w:val="20"/>
        </w:rPr>
        <w:t>.</w:t>
      </w:r>
    </w:p>
  </w:footnote>
  <w:footnote w:id="8">
    <w:p w:rsidR="00C42AE1" w:rsidRDefault="00C42AE1">
      <w:pPr>
        <w:pStyle w:val="Testonotaapidipagina"/>
      </w:pPr>
      <w:r>
        <w:rPr>
          <w:rStyle w:val="Rimandonotaapidipagina"/>
        </w:rPr>
        <w:footnoteRef/>
      </w:r>
      <w:r>
        <w:t xml:space="preserve">   </w:t>
      </w:r>
      <w:r w:rsidR="002A03F7">
        <w:t xml:space="preserve">Cfr. </w:t>
      </w:r>
      <w:r w:rsidR="002A03F7" w:rsidRPr="002A03F7">
        <w:rPr>
          <w:i/>
        </w:rPr>
        <w:t xml:space="preserve">ex </w:t>
      </w:r>
      <w:proofErr w:type="spellStart"/>
      <w:r w:rsidR="002A03F7" w:rsidRPr="002A03F7">
        <w:rPr>
          <w:i/>
        </w:rPr>
        <w:t>multis</w:t>
      </w:r>
      <w:proofErr w:type="spellEnd"/>
      <w:r w:rsidR="002A03F7">
        <w:t xml:space="preserve"> </w:t>
      </w:r>
      <w:proofErr w:type="spellStart"/>
      <w:r w:rsidR="002A03F7">
        <w:t>Mag</w:t>
      </w:r>
      <w:proofErr w:type="spellEnd"/>
      <w:r w:rsidR="002A03F7">
        <w:t xml:space="preserve">. </w:t>
      </w:r>
      <w:proofErr w:type="spellStart"/>
      <w:r w:rsidR="002A03F7">
        <w:t>sorv</w:t>
      </w:r>
      <w:proofErr w:type="spellEnd"/>
      <w:r w:rsidR="002A03F7">
        <w:t xml:space="preserve">. Venezia, </w:t>
      </w:r>
      <w:proofErr w:type="spellStart"/>
      <w:r w:rsidR="002A03F7">
        <w:t>ord</w:t>
      </w:r>
      <w:proofErr w:type="spellEnd"/>
      <w:r w:rsidR="002A03F7">
        <w:t xml:space="preserve">. 12 novembre </w:t>
      </w:r>
      <w:proofErr w:type="gramStart"/>
      <w:r w:rsidR="002A03F7">
        <w:t>2014  in</w:t>
      </w:r>
      <w:proofErr w:type="gramEnd"/>
      <w:r w:rsidR="002A03F7">
        <w:t xml:space="preserve"> DELLA CASA- GIOSTRA, </w:t>
      </w:r>
      <w:r w:rsidR="002A03F7" w:rsidRPr="002A03F7">
        <w:rPr>
          <w:i/>
        </w:rPr>
        <w:t>cit.</w:t>
      </w:r>
      <w:r w:rsidR="002A03F7">
        <w:t>,424</w:t>
      </w:r>
      <w:r>
        <w:t xml:space="preserve"> .</w:t>
      </w:r>
    </w:p>
  </w:footnote>
  <w:footnote w:id="9">
    <w:p w:rsidR="00FE0349" w:rsidRPr="00C71D09" w:rsidRDefault="00FE0349" w:rsidP="00FE0349">
      <w:pPr>
        <w:pStyle w:val="Testonotaapidipagina"/>
        <w:jc w:val="both"/>
        <w:rPr>
          <w:rFonts w:ascii="Verdana" w:hAnsi="Verdana"/>
        </w:rPr>
      </w:pPr>
      <w:r w:rsidRPr="00C71D09">
        <w:rPr>
          <w:rStyle w:val="Rimandonotaapidipagina"/>
          <w:rFonts w:ascii="Verdana" w:hAnsi="Verdana"/>
        </w:rPr>
        <w:footnoteRef/>
      </w:r>
      <w:r w:rsidRPr="00C71D09">
        <w:rPr>
          <w:rFonts w:ascii="Verdana" w:hAnsi="Verdana"/>
        </w:rPr>
        <w:t xml:space="preserve"> </w:t>
      </w:r>
      <w:r w:rsidRPr="00C71D09">
        <w:rPr>
          <w:rFonts w:ascii="Verdana" w:hAnsi="Verdana"/>
          <w:bCs/>
          <w:iCs/>
        </w:rPr>
        <w:t>Tale lettura, in quanto portata</w:t>
      </w:r>
      <w:r w:rsidRPr="00C71D09">
        <w:rPr>
          <w:rFonts w:ascii="Verdana" w:hAnsi="Verdana"/>
          <w:bCs/>
          <w:i/>
          <w:iCs/>
        </w:rPr>
        <w:t xml:space="preserve"> in </w:t>
      </w:r>
      <w:proofErr w:type="spellStart"/>
      <w:r w:rsidRPr="00C71D09">
        <w:rPr>
          <w:rFonts w:ascii="Verdana" w:hAnsi="Verdana"/>
          <w:bCs/>
          <w:i/>
          <w:iCs/>
        </w:rPr>
        <w:t>bonam</w:t>
      </w:r>
      <w:proofErr w:type="spellEnd"/>
      <w:r w:rsidRPr="00C71D09">
        <w:rPr>
          <w:rFonts w:ascii="Verdana" w:hAnsi="Verdana"/>
          <w:bCs/>
          <w:i/>
          <w:iCs/>
        </w:rPr>
        <w:t xml:space="preserve"> </w:t>
      </w:r>
      <w:proofErr w:type="spellStart"/>
      <w:r w:rsidRPr="00C71D09">
        <w:rPr>
          <w:rFonts w:ascii="Verdana" w:hAnsi="Verdana"/>
          <w:bCs/>
          <w:i/>
          <w:iCs/>
        </w:rPr>
        <w:t>partem</w:t>
      </w:r>
      <w:proofErr w:type="spellEnd"/>
      <w:r w:rsidRPr="00C71D09">
        <w:rPr>
          <w:rFonts w:ascii="Verdana" w:hAnsi="Verdana"/>
          <w:bCs/>
          <w:i/>
          <w:iCs/>
        </w:rPr>
        <w:t xml:space="preserve">, </w:t>
      </w:r>
      <w:r w:rsidRPr="00C71D09">
        <w:rPr>
          <w:rFonts w:ascii="Verdana" w:hAnsi="Verdana"/>
          <w:bCs/>
          <w:iCs/>
        </w:rPr>
        <w:t xml:space="preserve">non soffrirebbe il divieto posto dall’art. 14 </w:t>
      </w:r>
      <w:proofErr w:type="spellStart"/>
      <w:r w:rsidRPr="00C71D09">
        <w:rPr>
          <w:rFonts w:ascii="Verdana" w:hAnsi="Verdana"/>
          <w:bCs/>
          <w:iCs/>
        </w:rPr>
        <w:t>prel</w:t>
      </w:r>
      <w:proofErr w:type="spellEnd"/>
      <w:r w:rsidRPr="00C71D09">
        <w:rPr>
          <w:rFonts w:ascii="Verdana" w:hAnsi="Verdana"/>
          <w:bCs/>
          <w:iCs/>
        </w:rPr>
        <w:t xml:space="preserve">. Cfr. DELLA </w:t>
      </w:r>
      <w:proofErr w:type="gramStart"/>
      <w:r w:rsidRPr="00C71D09">
        <w:rPr>
          <w:rFonts w:ascii="Verdana" w:hAnsi="Verdana"/>
          <w:bCs/>
          <w:iCs/>
        </w:rPr>
        <w:t xml:space="preserve">BELLA </w:t>
      </w:r>
      <w:r w:rsidRPr="00C71D09">
        <w:rPr>
          <w:rFonts w:ascii="Verdana" w:hAnsi="Verdana"/>
          <w:bCs/>
        </w:rPr>
        <w:t>,</w:t>
      </w:r>
      <w:proofErr w:type="gramEnd"/>
      <w:r w:rsidR="00D90584">
        <w:rPr>
          <w:rFonts w:ascii="Verdana" w:hAnsi="Verdana"/>
          <w:i/>
        </w:rPr>
        <w:t xml:space="preserve"> op. cit.</w:t>
      </w:r>
      <w:r w:rsidRPr="00C71D09">
        <w:rPr>
          <w:rFonts w:ascii="Verdana" w:hAnsi="Verdana"/>
          <w:i/>
        </w:rPr>
        <w:t>,</w:t>
      </w:r>
      <w:r w:rsidRPr="00C71D09">
        <w:rPr>
          <w:rFonts w:ascii="Verdana" w:hAnsi="Verdana"/>
          <w:bCs/>
          <w:iCs/>
        </w:rPr>
        <w:t xml:space="preserve"> §13. </w:t>
      </w:r>
      <w:r w:rsidRPr="00C71D09">
        <w:rPr>
          <w:rFonts w:ascii="Verdana" w:hAnsi="Verdana"/>
        </w:rPr>
        <w:t xml:space="preserve"> </w:t>
      </w:r>
    </w:p>
  </w:footnote>
  <w:footnote w:id="10">
    <w:p w:rsidR="008852FA" w:rsidRPr="00C71D09" w:rsidRDefault="008852FA" w:rsidP="00D15230">
      <w:pPr>
        <w:pStyle w:val="Testonotaapidipagina"/>
        <w:jc w:val="both"/>
        <w:rPr>
          <w:rFonts w:ascii="Verdana" w:hAnsi="Verdana"/>
        </w:rPr>
      </w:pPr>
      <w:r w:rsidRPr="00C71D09">
        <w:rPr>
          <w:rStyle w:val="Rimandonotaapidipagina"/>
          <w:rFonts w:ascii="Verdana" w:hAnsi="Verdana"/>
        </w:rPr>
        <w:footnoteRef/>
      </w:r>
      <w:r w:rsidRPr="00C71D09">
        <w:rPr>
          <w:rFonts w:ascii="Verdana" w:hAnsi="Verdana"/>
        </w:rPr>
        <w:t xml:space="preserve"> </w:t>
      </w:r>
      <w:r w:rsidR="00D15230" w:rsidRPr="00C71D09">
        <w:rPr>
          <w:rFonts w:ascii="Verdana" w:hAnsi="Verdana"/>
          <w:bCs/>
        </w:rPr>
        <w:t xml:space="preserve">GIOSTRA </w:t>
      </w:r>
      <w:r w:rsidR="00D15230" w:rsidRPr="00C71D09">
        <w:rPr>
          <w:rFonts w:ascii="Verdana" w:hAnsi="Verdana"/>
          <w:i/>
        </w:rPr>
        <w:t xml:space="preserve">sub </w:t>
      </w:r>
      <w:r w:rsidR="00D15230" w:rsidRPr="00C71D09">
        <w:rPr>
          <w:rFonts w:ascii="Verdana" w:hAnsi="Verdana"/>
        </w:rPr>
        <w:t>art. 35-</w:t>
      </w:r>
      <w:r w:rsidR="00D15230" w:rsidRPr="00C71D09">
        <w:rPr>
          <w:rFonts w:ascii="Verdana" w:hAnsi="Verdana"/>
          <w:i/>
        </w:rPr>
        <w:t>ter,</w:t>
      </w:r>
      <w:r w:rsidR="00D15230" w:rsidRPr="00C71D09">
        <w:rPr>
          <w:rFonts w:ascii="Verdana" w:hAnsi="Verdana"/>
        </w:rPr>
        <w:t xml:space="preserve"> </w:t>
      </w:r>
      <w:r w:rsidR="00D90584">
        <w:rPr>
          <w:rFonts w:ascii="Verdana" w:hAnsi="Verdana"/>
        </w:rPr>
        <w:t xml:space="preserve">cit., </w:t>
      </w:r>
      <w:r w:rsidR="00133220">
        <w:rPr>
          <w:rFonts w:ascii="Verdana" w:hAnsi="Verdana"/>
        </w:rPr>
        <w:t>p.</w:t>
      </w:r>
      <w:r w:rsidR="00D15230" w:rsidRPr="00C71D09">
        <w:rPr>
          <w:rFonts w:ascii="Verdana" w:hAnsi="Verdana"/>
          <w:bCs/>
        </w:rPr>
        <w:t>423.</w:t>
      </w:r>
      <w:r w:rsidRPr="00C71D09">
        <w:rPr>
          <w:rFonts w:ascii="Verdana" w:hAnsi="Verdana"/>
          <w:bCs/>
        </w:rPr>
        <w:t xml:space="preserve"> Tali elementi si individuerebbero – secondo tale autorevole opinione - nel già indicato contrasto tra la prima soluzione interpretativa (che individua la competenza del giudice civile in caso di pregiudizio non più “attuale”) e il disposto che limita la detta competenza alla posizione del soggetto </w:t>
      </w:r>
      <w:r w:rsidR="00D90584">
        <w:rPr>
          <w:rFonts w:ascii="Verdana" w:hAnsi="Verdana"/>
          <w:bCs/>
        </w:rPr>
        <w:t>non più detenuto</w:t>
      </w:r>
      <w:r w:rsidRPr="00C71D09">
        <w:rPr>
          <w:rFonts w:ascii="Verdana" w:hAnsi="Verdana"/>
          <w:bCs/>
        </w:rPr>
        <w:t xml:space="preserve"> (art. 35-</w:t>
      </w:r>
      <w:r w:rsidRPr="00C71D09">
        <w:rPr>
          <w:rFonts w:ascii="Verdana" w:hAnsi="Verdana"/>
          <w:bCs/>
          <w:i/>
        </w:rPr>
        <w:t>ter</w:t>
      </w:r>
      <w:r w:rsidRPr="00C71D09">
        <w:rPr>
          <w:rFonts w:ascii="Verdana" w:hAnsi="Verdana"/>
          <w:bCs/>
        </w:rPr>
        <w:t>, co</w:t>
      </w:r>
      <w:r w:rsidR="00C42AE1">
        <w:rPr>
          <w:rFonts w:ascii="Verdana" w:hAnsi="Verdana"/>
          <w:bCs/>
        </w:rPr>
        <w:t>mma</w:t>
      </w:r>
      <w:r w:rsidRPr="00C71D09">
        <w:rPr>
          <w:rFonts w:ascii="Verdana" w:hAnsi="Verdana"/>
          <w:bCs/>
        </w:rPr>
        <w:t xml:space="preserve"> 3). In secondo luogo, il rinvio operato </w:t>
      </w:r>
      <w:r w:rsidRPr="00C71D09">
        <w:rPr>
          <w:rFonts w:ascii="Verdana" w:hAnsi="Verdana"/>
          <w:bCs/>
          <w:lang w:val="x-none"/>
        </w:rPr>
        <w:t>all’art. 69 co</w:t>
      </w:r>
      <w:r w:rsidR="00D90584">
        <w:rPr>
          <w:rFonts w:ascii="Verdana" w:hAnsi="Verdana"/>
          <w:bCs/>
        </w:rPr>
        <w:t xml:space="preserve">mma </w:t>
      </w:r>
      <w:r w:rsidRPr="00C71D09">
        <w:rPr>
          <w:rFonts w:ascii="Verdana" w:hAnsi="Verdana"/>
          <w:bCs/>
          <w:lang w:val="x-none"/>
        </w:rPr>
        <w:t xml:space="preserve">6 </w:t>
      </w:r>
      <w:proofErr w:type="spellStart"/>
      <w:r w:rsidRPr="00C71D09">
        <w:rPr>
          <w:rFonts w:ascii="Verdana" w:hAnsi="Verdana"/>
          <w:bCs/>
          <w:lang w:val="x-none"/>
        </w:rPr>
        <w:t>lett</w:t>
      </w:r>
      <w:proofErr w:type="spellEnd"/>
      <w:r w:rsidRPr="00C71D09">
        <w:rPr>
          <w:rFonts w:ascii="Verdana" w:hAnsi="Verdana"/>
          <w:bCs/>
          <w:lang w:val="x-none"/>
        </w:rPr>
        <w:t xml:space="preserve">. </w:t>
      </w:r>
      <w:r w:rsidRPr="00C71D09">
        <w:rPr>
          <w:rFonts w:ascii="Verdana" w:hAnsi="Verdana"/>
          <w:bCs/>
          <w:iCs/>
          <w:lang w:val="x-none"/>
        </w:rPr>
        <w:t>b</w:t>
      </w:r>
      <w:r w:rsidRPr="00C71D09">
        <w:rPr>
          <w:rFonts w:ascii="Verdana" w:hAnsi="Verdana"/>
          <w:bCs/>
          <w:iCs/>
        </w:rPr>
        <w:t>)</w:t>
      </w:r>
      <w:r w:rsidRPr="00C71D09">
        <w:rPr>
          <w:rFonts w:ascii="Verdana" w:hAnsi="Verdana"/>
          <w:bCs/>
          <w:iCs/>
          <w:lang w:val="x-none"/>
        </w:rPr>
        <w:t xml:space="preserve"> </w:t>
      </w:r>
      <w:proofErr w:type="spellStart"/>
      <w:r w:rsidRPr="00C71D09">
        <w:rPr>
          <w:rFonts w:ascii="Verdana" w:hAnsi="Verdana"/>
          <w:bCs/>
          <w:lang w:val="x-none"/>
        </w:rPr>
        <w:t>ord</w:t>
      </w:r>
      <w:proofErr w:type="spellEnd"/>
      <w:r w:rsidRPr="00C71D09">
        <w:rPr>
          <w:rFonts w:ascii="Verdana" w:hAnsi="Verdana"/>
          <w:bCs/>
          <w:lang w:val="x-none"/>
        </w:rPr>
        <w:t xml:space="preserve">. </w:t>
      </w:r>
      <w:proofErr w:type="spellStart"/>
      <w:r w:rsidRPr="00C71D09">
        <w:rPr>
          <w:rFonts w:ascii="Verdana" w:hAnsi="Verdana"/>
          <w:bCs/>
          <w:lang w:val="x-none"/>
        </w:rPr>
        <w:t>penit</w:t>
      </w:r>
      <w:proofErr w:type="spellEnd"/>
      <w:r w:rsidRPr="00C71D09">
        <w:rPr>
          <w:rFonts w:ascii="Verdana" w:hAnsi="Verdana"/>
          <w:bCs/>
          <w:lang w:val="x-none"/>
        </w:rPr>
        <w:t>. non a</w:t>
      </w:r>
      <w:r w:rsidRPr="00C71D09">
        <w:rPr>
          <w:rFonts w:ascii="Verdana" w:hAnsi="Verdana"/>
          <w:bCs/>
        </w:rPr>
        <w:t>vrebbe inteso recepire i requisiti della “</w:t>
      </w:r>
      <w:r w:rsidRPr="00C71D09">
        <w:rPr>
          <w:rFonts w:ascii="Verdana" w:hAnsi="Verdana"/>
          <w:bCs/>
          <w:lang w:val="x-none"/>
        </w:rPr>
        <w:t>gravità</w:t>
      </w:r>
      <w:r w:rsidRPr="00C71D09">
        <w:rPr>
          <w:rFonts w:ascii="Verdana" w:hAnsi="Verdana"/>
          <w:bCs/>
        </w:rPr>
        <w:t>”</w:t>
      </w:r>
      <w:r w:rsidRPr="00C71D09">
        <w:rPr>
          <w:rFonts w:ascii="Verdana" w:hAnsi="Verdana"/>
          <w:bCs/>
          <w:lang w:val="x-none"/>
        </w:rPr>
        <w:t xml:space="preserve"> e  </w:t>
      </w:r>
      <w:r w:rsidRPr="00C71D09">
        <w:rPr>
          <w:rFonts w:ascii="Verdana" w:hAnsi="Verdana"/>
          <w:bCs/>
        </w:rPr>
        <w:t>“</w:t>
      </w:r>
      <w:r w:rsidRPr="00C71D09">
        <w:rPr>
          <w:rFonts w:ascii="Verdana" w:hAnsi="Verdana"/>
          <w:bCs/>
          <w:lang w:val="x-none"/>
        </w:rPr>
        <w:t>attualità</w:t>
      </w:r>
      <w:r w:rsidRPr="00C71D09">
        <w:rPr>
          <w:rFonts w:ascii="Verdana" w:hAnsi="Verdana"/>
          <w:bCs/>
        </w:rPr>
        <w:t>”</w:t>
      </w:r>
      <w:r w:rsidRPr="00C71D09">
        <w:rPr>
          <w:rFonts w:ascii="Verdana" w:hAnsi="Verdana"/>
          <w:bCs/>
          <w:lang w:val="x-none"/>
        </w:rPr>
        <w:t xml:space="preserve"> del pregiudizio</w:t>
      </w:r>
      <w:r w:rsidRPr="00C71D09">
        <w:rPr>
          <w:rFonts w:ascii="Verdana" w:hAnsi="Verdana"/>
          <w:bCs/>
        </w:rPr>
        <w:t xml:space="preserve"> (il primo sarebbe, invero, sussistente </w:t>
      </w:r>
      <w:r w:rsidRPr="00C71D09">
        <w:rPr>
          <w:rFonts w:ascii="Verdana" w:hAnsi="Verdana"/>
          <w:bCs/>
          <w:i/>
        </w:rPr>
        <w:t xml:space="preserve">in re </w:t>
      </w:r>
      <w:proofErr w:type="spellStart"/>
      <w:r w:rsidRPr="00C71D09">
        <w:rPr>
          <w:rFonts w:ascii="Verdana" w:hAnsi="Verdana"/>
          <w:bCs/>
          <w:i/>
        </w:rPr>
        <w:t>ipsa</w:t>
      </w:r>
      <w:proofErr w:type="spellEnd"/>
      <w:r w:rsidRPr="00C71D09">
        <w:rPr>
          <w:rFonts w:ascii="Verdana" w:hAnsi="Verdana"/>
          <w:bCs/>
        </w:rPr>
        <w:t xml:space="preserve"> a fronte di una violazione dell’art.3 CEDU mentre il secondo sarebbe contraddetto dal dato letterale, che, ai co</w:t>
      </w:r>
      <w:r w:rsidR="008124A7" w:rsidRPr="00C71D09">
        <w:rPr>
          <w:rFonts w:ascii="Verdana" w:hAnsi="Verdana"/>
          <w:bCs/>
        </w:rPr>
        <w:t>m</w:t>
      </w:r>
      <w:r w:rsidR="00EA2B1A">
        <w:rPr>
          <w:rFonts w:ascii="Verdana" w:hAnsi="Verdana"/>
          <w:bCs/>
        </w:rPr>
        <w:t>m</w:t>
      </w:r>
      <w:r w:rsidR="008124A7" w:rsidRPr="00C71D09">
        <w:rPr>
          <w:rFonts w:ascii="Verdana" w:hAnsi="Verdana"/>
          <w:bCs/>
        </w:rPr>
        <w:t>i</w:t>
      </w:r>
      <w:r w:rsidRPr="00C71D09">
        <w:rPr>
          <w:rFonts w:ascii="Verdana" w:hAnsi="Verdana"/>
          <w:bCs/>
        </w:rPr>
        <w:t xml:space="preserve"> 2 e 3, chiaramente si riferirebbe a un pregiudizio non più attuale al momento della decisione del giudice).  </w:t>
      </w:r>
    </w:p>
  </w:footnote>
  <w:footnote w:id="11">
    <w:p w:rsidR="008852FA" w:rsidRPr="00D90584" w:rsidRDefault="008852FA" w:rsidP="008852FA">
      <w:pPr>
        <w:pStyle w:val="Testonotaapidipagina"/>
        <w:rPr>
          <w:rFonts w:ascii="Verdana" w:hAnsi="Verdana"/>
          <w:bCs/>
        </w:rPr>
      </w:pPr>
      <w:r w:rsidRPr="00C71D09">
        <w:rPr>
          <w:rStyle w:val="Rimandonotaapidipagina"/>
          <w:rFonts w:ascii="Verdana" w:hAnsi="Verdana"/>
        </w:rPr>
        <w:footnoteRef/>
      </w:r>
      <w:r w:rsidRPr="00D90584">
        <w:rPr>
          <w:rFonts w:ascii="Verdana" w:hAnsi="Verdana"/>
        </w:rPr>
        <w:t xml:space="preserve"> </w:t>
      </w:r>
      <w:r w:rsidR="00FE0349" w:rsidRPr="00D90584">
        <w:rPr>
          <w:rFonts w:ascii="Verdana" w:hAnsi="Verdana"/>
          <w:bCs/>
        </w:rPr>
        <w:t xml:space="preserve">GIOSTRA </w:t>
      </w:r>
      <w:r w:rsidR="00FE0349" w:rsidRPr="00D90584">
        <w:rPr>
          <w:rFonts w:ascii="Verdana" w:hAnsi="Verdana"/>
          <w:i/>
        </w:rPr>
        <w:t xml:space="preserve">sub </w:t>
      </w:r>
      <w:r w:rsidR="00FE0349" w:rsidRPr="00D90584">
        <w:rPr>
          <w:rFonts w:ascii="Verdana" w:hAnsi="Verdana"/>
        </w:rPr>
        <w:t>art. 35-</w:t>
      </w:r>
      <w:r w:rsidR="00FE0349" w:rsidRPr="00D90584">
        <w:rPr>
          <w:rFonts w:ascii="Verdana" w:hAnsi="Verdana"/>
          <w:i/>
        </w:rPr>
        <w:t>ter,</w:t>
      </w:r>
      <w:r w:rsidR="00D90584" w:rsidRPr="00D90584">
        <w:rPr>
          <w:rFonts w:ascii="Verdana" w:hAnsi="Verdana"/>
        </w:rPr>
        <w:t xml:space="preserve"> cit.</w:t>
      </w:r>
      <w:r w:rsidR="00FE0349" w:rsidRPr="00D90584">
        <w:rPr>
          <w:rFonts w:ascii="Verdana" w:hAnsi="Verdana"/>
          <w:bCs/>
        </w:rPr>
        <w:t xml:space="preserve">, </w:t>
      </w:r>
      <w:r w:rsidR="00133220">
        <w:rPr>
          <w:rFonts w:ascii="Verdana" w:hAnsi="Verdana"/>
          <w:bCs/>
        </w:rPr>
        <w:t>p.</w:t>
      </w:r>
      <w:r w:rsidR="00FE0349" w:rsidRPr="00D90584">
        <w:rPr>
          <w:rFonts w:ascii="Verdana" w:hAnsi="Verdana"/>
          <w:bCs/>
        </w:rPr>
        <w:t xml:space="preserve">424.  </w:t>
      </w:r>
      <w:r w:rsidRPr="00D90584">
        <w:rPr>
          <w:rFonts w:ascii="Verdana" w:hAnsi="Verdana"/>
          <w:bCs/>
        </w:rPr>
        <w:t xml:space="preserve"> </w:t>
      </w:r>
    </w:p>
    <w:p w:rsidR="008852FA" w:rsidRPr="00D90584" w:rsidRDefault="008852FA">
      <w:pPr>
        <w:pStyle w:val="Testonotaapidipagina"/>
        <w:rPr>
          <w:rFonts w:ascii="Verdana" w:hAnsi="Verdana"/>
        </w:rPr>
      </w:pPr>
    </w:p>
  </w:footnote>
  <w:footnote w:id="12">
    <w:p w:rsidR="00A778F1" w:rsidRPr="00C71D09" w:rsidRDefault="00A778F1" w:rsidP="00D15230">
      <w:pPr>
        <w:pStyle w:val="Testonotaapidipagina"/>
        <w:jc w:val="both"/>
        <w:rPr>
          <w:rFonts w:ascii="Verdana" w:hAnsi="Verdana"/>
          <w:i/>
        </w:rPr>
      </w:pPr>
      <w:r w:rsidRPr="00C71D09">
        <w:rPr>
          <w:rStyle w:val="Rimandonotaapidipagina"/>
          <w:rFonts w:ascii="Verdana" w:hAnsi="Verdana"/>
        </w:rPr>
        <w:footnoteRef/>
      </w:r>
      <w:r w:rsidRPr="00C71D09">
        <w:rPr>
          <w:rFonts w:ascii="Verdana" w:hAnsi="Verdana"/>
        </w:rPr>
        <w:t xml:space="preserve"> </w:t>
      </w:r>
      <w:r w:rsidR="00D90584">
        <w:rPr>
          <w:rFonts w:ascii="Verdana" w:hAnsi="Verdana"/>
        </w:rPr>
        <w:t xml:space="preserve">Cfr. </w:t>
      </w:r>
      <w:r w:rsidRPr="00C71D09">
        <w:rPr>
          <w:rFonts w:ascii="Verdana" w:hAnsi="Verdana"/>
        </w:rPr>
        <w:t xml:space="preserve">GIOSTRA, </w:t>
      </w:r>
      <w:r w:rsidRPr="00C71D09">
        <w:rPr>
          <w:rFonts w:ascii="Verdana" w:hAnsi="Verdana"/>
          <w:i/>
        </w:rPr>
        <w:t xml:space="preserve">Un pregiudizio “grave e attuale”? A proposito delle prime applicazioni del nuovo art.35-ter </w:t>
      </w:r>
      <w:proofErr w:type="spellStart"/>
      <w:r w:rsidRPr="00C71D09">
        <w:rPr>
          <w:rFonts w:ascii="Verdana" w:hAnsi="Verdana"/>
          <w:i/>
        </w:rPr>
        <w:t>ord</w:t>
      </w:r>
      <w:proofErr w:type="spellEnd"/>
      <w:r w:rsidRPr="00C71D09">
        <w:rPr>
          <w:rFonts w:ascii="Verdana" w:hAnsi="Verdana"/>
          <w:i/>
        </w:rPr>
        <w:t xml:space="preserve">. </w:t>
      </w:r>
      <w:proofErr w:type="spellStart"/>
      <w:proofErr w:type="gramStart"/>
      <w:r w:rsidRPr="00C71D09">
        <w:rPr>
          <w:rFonts w:ascii="Verdana" w:hAnsi="Verdana"/>
          <w:i/>
        </w:rPr>
        <w:t>penit</w:t>
      </w:r>
      <w:proofErr w:type="spellEnd"/>
      <w:r w:rsidRPr="00C71D09">
        <w:rPr>
          <w:rFonts w:ascii="Verdana" w:hAnsi="Verdana"/>
        </w:rPr>
        <w:t>.,</w:t>
      </w:r>
      <w:proofErr w:type="gramEnd"/>
      <w:r w:rsidRPr="00C71D09">
        <w:rPr>
          <w:rFonts w:ascii="Verdana" w:hAnsi="Verdana"/>
        </w:rPr>
        <w:t xml:space="preserve"> in </w:t>
      </w:r>
      <w:r w:rsidRPr="00C71D09">
        <w:rPr>
          <w:rFonts w:ascii="Verdana" w:hAnsi="Verdana"/>
          <w:i/>
        </w:rPr>
        <w:t>www.penalecontemporaneo.it</w:t>
      </w:r>
      <w:r w:rsidRPr="00C71D09">
        <w:rPr>
          <w:rFonts w:ascii="Verdana" w:hAnsi="Verdana"/>
        </w:rPr>
        <w:t xml:space="preserve">; BRACCIALINI, </w:t>
      </w:r>
      <w:r w:rsidRPr="00C71D09">
        <w:rPr>
          <w:rFonts w:ascii="Verdana" w:hAnsi="Verdana"/>
          <w:i/>
        </w:rPr>
        <w:t xml:space="preserve">Art.35-ter. 3 Ordinamento Penitenziario: risarcimento o tassa </w:t>
      </w:r>
      <w:proofErr w:type="gramStart"/>
      <w:r w:rsidRPr="00C71D09">
        <w:rPr>
          <w:rFonts w:ascii="Verdana" w:hAnsi="Verdana"/>
          <w:i/>
        </w:rPr>
        <w:t>fissa?</w:t>
      </w:r>
      <w:r w:rsidRPr="00C71D09">
        <w:rPr>
          <w:rFonts w:ascii="Verdana" w:hAnsi="Verdana"/>
        </w:rPr>
        <w:t>,</w:t>
      </w:r>
      <w:proofErr w:type="gramEnd"/>
      <w:r w:rsidRPr="00C71D09">
        <w:rPr>
          <w:rFonts w:ascii="Verdana" w:hAnsi="Verdana"/>
        </w:rPr>
        <w:t xml:space="preserve"> </w:t>
      </w:r>
      <w:r w:rsidRPr="00C71D09">
        <w:rPr>
          <w:rFonts w:ascii="Verdana" w:hAnsi="Verdana"/>
          <w:i/>
        </w:rPr>
        <w:t xml:space="preserve">in </w:t>
      </w:r>
      <w:proofErr w:type="spellStart"/>
      <w:r w:rsidR="00133220">
        <w:rPr>
          <w:rFonts w:ascii="Verdana" w:hAnsi="Verdana"/>
          <w:i/>
        </w:rPr>
        <w:t>Quest.</w:t>
      </w:r>
      <w:r w:rsidR="008E2CB0">
        <w:rPr>
          <w:rFonts w:ascii="Verdana" w:hAnsi="Verdana"/>
          <w:i/>
        </w:rPr>
        <w:t>Giust</w:t>
      </w:r>
      <w:proofErr w:type="spellEnd"/>
      <w:r w:rsidR="008E2CB0">
        <w:rPr>
          <w:rFonts w:ascii="Verdana" w:hAnsi="Verdana"/>
          <w:i/>
        </w:rPr>
        <w:t xml:space="preserve">. </w:t>
      </w:r>
      <w:proofErr w:type="gramStart"/>
      <w:r w:rsidR="008E2CB0">
        <w:rPr>
          <w:rFonts w:ascii="Verdana" w:hAnsi="Verdana"/>
          <w:i/>
        </w:rPr>
        <w:t>o</w:t>
      </w:r>
      <w:r w:rsidR="00133220">
        <w:rPr>
          <w:rFonts w:ascii="Verdana" w:hAnsi="Verdana"/>
          <w:i/>
        </w:rPr>
        <w:t>nline</w:t>
      </w:r>
      <w:proofErr w:type="gramEnd"/>
      <w:r w:rsidR="00133220">
        <w:rPr>
          <w:rFonts w:ascii="Verdana" w:hAnsi="Verdana"/>
          <w:i/>
        </w:rPr>
        <w:t xml:space="preserve">, </w:t>
      </w:r>
      <w:r w:rsidR="00D15230" w:rsidRPr="00C71D09">
        <w:rPr>
          <w:rFonts w:ascii="Verdana" w:hAnsi="Verdana"/>
          <w:bCs/>
        </w:rPr>
        <w:t>2 aprile 2015</w:t>
      </w:r>
      <w:r w:rsidR="00133220">
        <w:rPr>
          <w:rFonts w:ascii="Verdana" w:hAnsi="Verdana"/>
          <w:bCs/>
        </w:rPr>
        <w:t>.</w:t>
      </w:r>
    </w:p>
    <w:p w:rsidR="00A778F1" w:rsidRPr="00C71D09" w:rsidRDefault="00A778F1">
      <w:pPr>
        <w:pStyle w:val="Testonotaapidipagina"/>
        <w:rPr>
          <w:rFonts w:ascii="Verdana" w:hAnsi="Verdana"/>
        </w:rPr>
      </w:pPr>
    </w:p>
  </w:footnote>
  <w:footnote w:id="13">
    <w:p w:rsidR="005872DC" w:rsidRPr="00C71D09" w:rsidRDefault="005872DC" w:rsidP="005872DC">
      <w:pPr>
        <w:jc w:val="both"/>
        <w:rPr>
          <w:rFonts w:ascii="Verdana" w:hAnsi="Verdana"/>
          <w:bCs/>
          <w:sz w:val="20"/>
          <w:szCs w:val="20"/>
        </w:rPr>
      </w:pPr>
      <w:r w:rsidRPr="00C71D09">
        <w:rPr>
          <w:rStyle w:val="Rimandonotaapidipagina"/>
          <w:rFonts w:ascii="Verdana" w:hAnsi="Verdana"/>
          <w:sz w:val="20"/>
          <w:szCs w:val="20"/>
        </w:rPr>
        <w:footnoteRef/>
      </w:r>
      <w:r w:rsidRPr="00C71D09">
        <w:rPr>
          <w:rFonts w:ascii="Verdana" w:hAnsi="Verdana"/>
          <w:sz w:val="20"/>
          <w:szCs w:val="20"/>
        </w:rPr>
        <w:t xml:space="preserve"> </w:t>
      </w:r>
      <w:r w:rsidR="00D90584">
        <w:rPr>
          <w:rFonts w:ascii="Verdana" w:hAnsi="Verdana"/>
          <w:sz w:val="20"/>
          <w:szCs w:val="20"/>
        </w:rPr>
        <w:t>&lt;&lt;</w:t>
      </w:r>
      <w:r w:rsidRPr="00C71D09">
        <w:rPr>
          <w:rFonts w:ascii="Verdana" w:hAnsi="Verdana"/>
          <w:bCs/>
          <w:sz w:val="20"/>
          <w:szCs w:val="20"/>
        </w:rPr>
        <w:t xml:space="preserve">68. La </w:t>
      </w:r>
      <w:proofErr w:type="spellStart"/>
      <w:r w:rsidRPr="00C71D09">
        <w:rPr>
          <w:rFonts w:ascii="Verdana" w:hAnsi="Verdana"/>
          <w:bCs/>
          <w:sz w:val="20"/>
          <w:szCs w:val="20"/>
        </w:rPr>
        <w:t>Cour</w:t>
      </w:r>
      <w:proofErr w:type="spellEnd"/>
      <w:r w:rsidRPr="00C71D09">
        <w:rPr>
          <w:rFonts w:ascii="Verdana" w:hAnsi="Verdana"/>
          <w:bCs/>
          <w:sz w:val="20"/>
          <w:szCs w:val="20"/>
        </w:rPr>
        <w:t xml:space="preserve"> </w:t>
      </w:r>
      <w:proofErr w:type="spellStart"/>
      <w:r w:rsidRPr="00C71D09">
        <w:rPr>
          <w:rFonts w:ascii="Verdana" w:hAnsi="Verdana"/>
          <w:bCs/>
          <w:sz w:val="20"/>
          <w:szCs w:val="20"/>
        </w:rPr>
        <w:t>précise</w:t>
      </w:r>
      <w:proofErr w:type="spellEnd"/>
      <w:r w:rsidRPr="00C71D09">
        <w:rPr>
          <w:rFonts w:ascii="Verdana" w:hAnsi="Verdana"/>
          <w:bCs/>
          <w:sz w:val="20"/>
          <w:szCs w:val="20"/>
        </w:rPr>
        <w:t xml:space="preserve"> </w:t>
      </w:r>
      <w:proofErr w:type="spellStart"/>
      <w:r w:rsidRPr="00C71D09">
        <w:rPr>
          <w:rFonts w:ascii="Verdana" w:hAnsi="Verdana"/>
          <w:bCs/>
          <w:sz w:val="20"/>
          <w:szCs w:val="20"/>
        </w:rPr>
        <w:t>encore</w:t>
      </w:r>
      <w:proofErr w:type="spellEnd"/>
      <w:r w:rsidRPr="00C71D09">
        <w:rPr>
          <w:rFonts w:ascii="Verdana" w:hAnsi="Verdana"/>
          <w:bCs/>
          <w:sz w:val="20"/>
          <w:szCs w:val="20"/>
        </w:rPr>
        <w:t xml:space="preserve"> une fois </w:t>
      </w:r>
      <w:proofErr w:type="spellStart"/>
      <w:r w:rsidRPr="00C71D09">
        <w:rPr>
          <w:rFonts w:ascii="Verdana" w:hAnsi="Verdana"/>
          <w:bCs/>
          <w:sz w:val="20"/>
          <w:szCs w:val="20"/>
        </w:rPr>
        <w:t>qu’elle</w:t>
      </w:r>
      <w:proofErr w:type="spellEnd"/>
      <w:r w:rsidRPr="00C71D09">
        <w:rPr>
          <w:rFonts w:ascii="Verdana" w:hAnsi="Verdana"/>
          <w:bCs/>
          <w:sz w:val="20"/>
          <w:szCs w:val="20"/>
        </w:rPr>
        <w:t xml:space="preserve"> se </w:t>
      </w:r>
      <w:proofErr w:type="spellStart"/>
      <w:r w:rsidRPr="00C71D09">
        <w:rPr>
          <w:rFonts w:ascii="Verdana" w:hAnsi="Verdana"/>
          <w:bCs/>
          <w:sz w:val="20"/>
          <w:szCs w:val="20"/>
        </w:rPr>
        <w:t>réserve</w:t>
      </w:r>
      <w:proofErr w:type="spellEnd"/>
      <w:r w:rsidRPr="00C71D09">
        <w:rPr>
          <w:rFonts w:ascii="Verdana" w:hAnsi="Verdana"/>
          <w:bCs/>
          <w:sz w:val="20"/>
          <w:szCs w:val="20"/>
        </w:rPr>
        <w:t xml:space="preserve"> la </w:t>
      </w:r>
      <w:proofErr w:type="spellStart"/>
      <w:r w:rsidRPr="00C71D09">
        <w:rPr>
          <w:rFonts w:ascii="Verdana" w:hAnsi="Verdana"/>
          <w:bCs/>
          <w:sz w:val="20"/>
          <w:szCs w:val="20"/>
        </w:rPr>
        <w:t>possibilité</w:t>
      </w:r>
      <w:proofErr w:type="spellEnd"/>
      <w:r w:rsidRPr="00C71D09">
        <w:rPr>
          <w:rFonts w:ascii="Verdana" w:hAnsi="Verdana"/>
          <w:bCs/>
          <w:sz w:val="20"/>
          <w:szCs w:val="20"/>
        </w:rPr>
        <w:t xml:space="preserve"> d’</w:t>
      </w:r>
      <w:proofErr w:type="spellStart"/>
      <w:r w:rsidRPr="00C71D09">
        <w:rPr>
          <w:rFonts w:ascii="Verdana" w:hAnsi="Verdana"/>
          <w:bCs/>
          <w:sz w:val="20"/>
          <w:szCs w:val="20"/>
        </w:rPr>
        <w:t>examiner</w:t>
      </w:r>
      <w:proofErr w:type="spellEnd"/>
      <w:r w:rsidRPr="00C71D09">
        <w:rPr>
          <w:rFonts w:ascii="Verdana" w:hAnsi="Verdana"/>
          <w:bCs/>
          <w:sz w:val="20"/>
          <w:szCs w:val="20"/>
        </w:rPr>
        <w:t xml:space="preserve"> la </w:t>
      </w:r>
      <w:proofErr w:type="spellStart"/>
      <w:r w:rsidRPr="00C71D09">
        <w:rPr>
          <w:rFonts w:ascii="Verdana" w:hAnsi="Verdana"/>
          <w:bCs/>
          <w:sz w:val="20"/>
          <w:szCs w:val="20"/>
        </w:rPr>
        <w:t>cohérence</w:t>
      </w:r>
      <w:proofErr w:type="spellEnd"/>
      <w:r w:rsidRPr="00C71D09">
        <w:rPr>
          <w:rFonts w:ascii="Verdana" w:hAnsi="Verdana"/>
          <w:bCs/>
          <w:sz w:val="20"/>
          <w:szCs w:val="20"/>
        </w:rPr>
        <w:t xml:space="preserve"> de la </w:t>
      </w:r>
      <w:proofErr w:type="spellStart"/>
      <w:r w:rsidRPr="00C71D09">
        <w:rPr>
          <w:rFonts w:ascii="Verdana" w:hAnsi="Verdana"/>
          <w:bCs/>
          <w:sz w:val="20"/>
          <w:szCs w:val="20"/>
        </w:rPr>
        <w:t>jurisprudence</w:t>
      </w:r>
      <w:proofErr w:type="spellEnd"/>
      <w:r w:rsidRPr="00C71D09">
        <w:rPr>
          <w:rFonts w:ascii="Verdana" w:hAnsi="Verdana"/>
          <w:bCs/>
          <w:sz w:val="20"/>
          <w:szCs w:val="20"/>
        </w:rPr>
        <w:t xml:space="preserve"> </w:t>
      </w:r>
      <w:proofErr w:type="spellStart"/>
      <w:r w:rsidRPr="00C71D09">
        <w:rPr>
          <w:rFonts w:ascii="Verdana" w:hAnsi="Verdana"/>
          <w:bCs/>
          <w:sz w:val="20"/>
          <w:szCs w:val="20"/>
        </w:rPr>
        <w:t>des</w:t>
      </w:r>
      <w:proofErr w:type="spellEnd"/>
      <w:r w:rsidRPr="00C71D09">
        <w:rPr>
          <w:rFonts w:ascii="Verdana" w:hAnsi="Verdana"/>
          <w:bCs/>
          <w:sz w:val="20"/>
          <w:szCs w:val="20"/>
        </w:rPr>
        <w:t xml:space="preserve"> </w:t>
      </w:r>
      <w:proofErr w:type="spellStart"/>
      <w:r w:rsidRPr="00C71D09">
        <w:rPr>
          <w:rFonts w:ascii="Verdana" w:hAnsi="Verdana"/>
          <w:bCs/>
          <w:sz w:val="20"/>
          <w:szCs w:val="20"/>
        </w:rPr>
        <w:t>juridictions</w:t>
      </w:r>
      <w:proofErr w:type="spellEnd"/>
      <w:r w:rsidRPr="00C71D09">
        <w:rPr>
          <w:rFonts w:ascii="Verdana" w:hAnsi="Verdana"/>
          <w:bCs/>
          <w:sz w:val="20"/>
          <w:szCs w:val="20"/>
        </w:rPr>
        <w:t xml:space="preserve"> </w:t>
      </w:r>
      <w:proofErr w:type="spellStart"/>
      <w:r w:rsidRPr="00C71D09">
        <w:rPr>
          <w:rFonts w:ascii="Verdana" w:hAnsi="Verdana"/>
          <w:bCs/>
          <w:sz w:val="20"/>
          <w:szCs w:val="20"/>
        </w:rPr>
        <w:t>internes</w:t>
      </w:r>
      <w:proofErr w:type="spellEnd"/>
      <w:r w:rsidRPr="00C71D09">
        <w:rPr>
          <w:rFonts w:ascii="Verdana" w:hAnsi="Verdana"/>
          <w:bCs/>
          <w:sz w:val="20"/>
          <w:szCs w:val="20"/>
        </w:rPr>
        <w:t xml:space="preserve"> </w:t>
      </w:r>
      <w:proofErr w:type="spellStart"/>
      <w:r w:rsidRPr="00C71D09">
        <w:rPr>
          <w:rFonts w:ascii="Verdana" w:hAnsi="Verdana"/>
          <w:bCs/>
          <w:sz w:val="20"/>
          <w:szCs w:val="20"/>
        </w:rPr>
        <w:t>avec</w:t>
      </w:r>
      <w:proofErr w:type="spellEnd"/>
      <w:r w:rsidRPr="00C71D09">
        <w:rPr>
          <w:rFonts w:ascii="Verdana" w:hAnsi="Verdana"/>
          <w:bCs/>
          <w:sz w:val="20"/>
          <w:szCs w:val="20"/>
        </w:rPr>
        <w:t xml:space="preserve"> sa </w:t>
      </w:r>
      <w:proofErr w:type="spellStart"/>
      <w:r w:rsidRPr="00C71D09">
        <w:rPr>
          <w:rFonts w:ascii="Verdana" w:hAnsi="Verdana"/>
          <w:bCs/>
          <w:sz w:val="20"/>
          <w:szCs w:val="20"/>
        </w:rPr>
        <w:t>propre</w:t>
      </w:r>
      <w:proofErr w:type="spellEnd"/>
      <w:r w:rsidRPr="00C71D09">
        <w:rPr>
          <w:rFonts w:ascii="Verdana" w:hAnsi="Verdana"/>
          <w:bCs/>
          <w:sz w:val="20"/>
          <w:szCs w:val="20"/>
        </w:rPr>
        <w:t xml:space="preserve"> </w:t>
      </w:r>
      <w:proofErr w:type="spellStart"/>
      <w:r w:rsidRPr="00C71D09">
        <w:rPr>
          <w:rFonts w:ascii="Verdana" w:hAnsi="Verdana"/>
          <w:bCs/>
          <w:sz w:val="20"/>
          <w:szCs w:val="20"/>
        </w:rPr>
        <w:t>jurisprudence</w:t>
      </w:r>
      <w:proofErr w:type="spellEnd"/>
      <w:r w:rsidRPr="00C71D09">
        <w:rPr>
          <w:rFonts w:ascii="Verdana" w:hAnsi="Verdana"/>
          <w:bCs/>
          <w:sz w:val="20"/>
          <w:szCs w:val="20"/>
        </w:rPr>
        <w:t xml:space="preserve"> </w:t>
      </w:r>
      <w:proofErr w:type="spellStart"/>
      <w:r w:rsidRPr="00C71D09">
        <w:rPr>
          <w:rFonts w:ascii="Verdana" w:hAnsi="Verdana"/>
          <w:bCs/>
          <w:sz w:val="20"/>
          <w:szCs w:val="20"/>
        </w:rPr>
        <w:t>ainsi</w:t>
      </w:r>
      <w:proofErr w:type="spellEnd"/>
      <w:r w:rsidRPr="00C71D09">
        <w:rPr>
          <w:rFonts w:ascii="Verdana" w:hAnsi="Verdana"/>
          <w:bCs/>
          <w:sz w:val="20"/>
          <w:szCs w:val="20"/>
        </w:rPr>
        <w:t xml:space="preserve"> </w:t>
      </w:r>
      <w:proofErr w:type="spellStart"/>
      <w:r w:rsidRPr="00C71D09">
        <w:rPr>
          <w:rFonts w:ascii="Verdana" w:hAnsi="Verdana"/>
          <w:bCs/>
          <w:sz w:val="20"/>
          <w:szCs w:val="20"/>
        </w:rPr>
        <w:t>que</w:t>
      </w:r>
      <w:proofErr w:type="spellEnd"/>
      <w:r w:rsidRPr="00C71D09">
        <w:rPr>
          <w:rFonts w:ascii="Verdana" w:hAnsi="Verdana"/>
          <w:bCs/>
          <w:sz w:val="20"/>
          <w:szCs w:val="20"/>
        </w:rPr>
        <w:t xml:space="preserve"> l’</w:t>
      </w:r>
      <w:proofErr w:type="spellStart"/>
      <w:r w:rsidRPr="00C71D09">
        <w:rPr>
          <w:rFonts w:ascii="Verdana" w:hAnsi="Verdana"/>
          <w:bCs/>
          <w:sz w:val="20"/>
          <w:szCs w:val="20"/>
        </w:rPr>
        <w:t>effectivité</w:t>
      </w:r>
      <w:proofErr w:type="spellEnd"/>
      <w:r w:rsidRPr="00C71D09">
        <w:rPr>
          <w:rFonts w:ascii="Verdana" w:hAnsi="Verdana"/>
          <w:bCs/>
          <w:sz w:val="20"/>
          <w:szCs w:val="20"/>
        </w:rPr>
        <w:t xml:space="preserve"> </w:t>
      </w:r>
      <w:proofErr w:type="spellStart"/>
      <w:r w:rsidRPr="00C71D09">
        <w:rPr>
          <w:rFonts w:ascii="Verdana" w:hAnsi="Verdana"/>
          <w:bCs/>
          <w:sz w:val="20"/>
          <w:szCs w:val="20"/>
        </w:rPr>
        <w:t>des</w:t>
      </w:r>
      <w:proofErr w:type="spellEnd"/>
      <w:r w:rsidRPr="00C71D09">
        <w:rPr>
          <w:rFonts w:ascii="Verdana" w:hAnsi="Verdana"/>
          <w:bCs/>
          <w:sz w:val="20"/>
          <w:szCs w:val="20"/>
        </w:rPr>
        <w:t xml:space="preserve"> </w:t>
      </w:r>
      <w:proofErr w:type="spellStart"/>
      <w:r w:rsidRPr="00C71D09">
        <w:rPr>
          <w:rFonts w:ascii="Verdana" w:hAnsi="Verdana"/>
          <w:bCs/>
          <w:sz w:val="20"/>
          <w:szCs w:val="20"/>
        </w:rPr>
        <w:t>recours</w:t>
      </w:r>
      <w:proofErr w:type="spellEnd"/>
      <w:r w:rsidRPr="00C71D09">
        <w:rPr>
          <w:rFonts w:ascii="Verdana" w:hAnsi="Verdana"/>
          <w:bCs/>
          <w:sz w:val="20"/>
          <w:szCs w:val="20"/>
        </w:rPr>
        <w:t xml:space="preserve"> </w:t>
      </w:r>
      <w:proofErr w:type="spellStart"/>
      <w:r w:rsidRPr="00C71D09">
        <w:rPr>
          <w:rFonts w:ascii="Verdana" w:hAnsi="Verdana"/>
          <w:bCs/>
          <w:sz w:val="20"/>
          <w:szCs w:val="20"/>
        </w:rPr>
        <w:t>tant</w:t>
      </w:r>
      <w:proofErr w:type="spellEnd"/>
      <w:r w:rsidRPr="00C71D09">
        <w:rPr>
          <w:rFonts w:ascii="Verdana" w:hAnsi="Verdana"/>
          <w:bCs/>
          <w:sz w:val="20"/>
          <w:szCs w:val="20"/>
        </w:rPr>
        <w:t xml:space="preserve"> en </w:t>
      </w:r>
      <w:proofErr w:type="spellStart"/>
      <w:r w:rsidRPr="00C71D09">
        <w:rPr>
          <w:rFonts w:ascii="Verdana" w:hAnsi="Verdana"/>
          <w:bCs/>
          <w:sz w:val="20"/>
          <w:szCs w:val="20"/>
        </w:rPr>
        <w:t>théorie</w:t>
      </w:r>
      <w:proofErr w:type="spellEnd"/>
      <w:r w:rsidRPr="00C71D09">
        <w:rPr>
          <w:rFonts w:ascii="Verdana" w:hAnsi="Verdana"/>
          <w:bCs/>
          <w:sz w:val="20"/>
          <w:szCs w:val="20"/>
        </w:rPr>
        <w:t xml:space="preserve"> </w:t>
      </w:r>
      <w:proofErr w:type="spellStart"/>
      <w:r w:rsidRPr="00C71D09">
        <w:rPr>
          <w:rFonts w:ascii="Verdana" w:hAnsi="Verdana"/>
          <w:bCs/>
          <w:sz w:val="20"/>
          <w:szCs w:val="20"/>
        </w:rPr>
        <w:t>qu’en</w:t>
      </w:r>
      <w:proofErr w:type="spellEnd"/>
      <w:r w:rsidRPr="00C71D09">
        <w:rPr>
          <w:rFonts w:ascii="Verdana" w:hAnsi="Verdana"/>
          <w:bCs/>
          <w:sz w:val="20"/>
          <w:szCs w:val="20"/>
        </w:rPr>
        <w:t xml:space="preserve"> </w:t>
      </w:r>
      <w:proofErr w:type="spellStart"/>
      <w:r w:rsidRPr="00C71D09">
        <w:rPr>
          <w:rFonts w:ascii="Verdana" w:hAnsi="Verdana"/>
          <w:bCs/>
          <w:sz w:val="20"/>
          <w:szCs w:val="20"/>
        </w:rPr>
        <w:t>pratique</w:t>
      </w:r>
      <w:proofErr w:type="spellEnd"/>
      <w:r w:rsidR="00D90584">
        <w:rPr>
          <w:rFonts w:ascii="Verdana" w:hAnsi="Verdana"/>
          <w:bCs/>
          <w:sz w:val="20"/>
          <w:szCs w:val="20"/>
        </w:rPr>
        <w:t>&gt;&gt;&gt;</w:t>
      </w:r>
      <w:r w:rsidR="00D90584" w:rsidRPr="00D90584">
        <w:rPr>
          <w:rFonts w:ascii="Verdana" w:hAnsi="Verdana"/>
          <w:bCs/>
          <w:sz w:val="20"/>
          <w:szCs w:val="20"/>
        </w:rPr>
        <w:t xml:space="preserve"> </w:t>
      </w:r>
      <w:r w:rsidR="00D90584" w:rsidRPr="00C71D09">
        <w:rPr>
          <w:rFonts w:ascii="Verdana" w:hAnsi="Verdana"/>
          <w:bCs/>
          <w:sz w:val="20"/>
          <w:szCs w:val="20"/>
        </w:rPr>
        <w:t>(C</w:t>
      </w:r>
      <w:r w:rsidR="00D90584">
        <w:rPr>
          <w:rFonts w:ascii="Verdana" w:hAnsi="Verdana"/>
          <w:bCs/>
          <w:sz w:val="20"/>
          <w:szCs w:val="20"/>
        </w:rPr>
        <w:t xml:space="preserve">EDU, </w:t>
      </w:r>
      <w:proofErr w:type="spellStart"/>
      <w:r w:rsidR="00D90584">
        <w:rPr>
          <w:rFonts w:ascii="Verdana" w:hAnsi="Verdana"/>
          <w:bCs/>
          <w:sz w:val="20"/>
          <w:szCs w:val="20"/>
        </w:rPr>
        <w:t>sent</w:t>
      </w:r>
      <w:proofErr w:type="spellEnd"/>
      <w:r w:rsidR="00D90584">
        <w:rPr>
          <w:rFonts w:ascii="Verdana" w:hAnsi="Verdana"/>
          <w:bCs/>
          <w:sz w:val="20"/>
          <w:szCs w:val="20"/>
        </w:rPr>
        <w:t>.</w:t>
      </w:r>
      <w:r w:rsidR="00D90584" w:rsidRPr="00C71D09">
        <w:rPr>
          <w:rFonts w:ascii="Verdana" w:hAnsi="Verdana"/>
          <w:bCs/>
          <w:sz w:val="20"/>
          <w:szCs w:val="20"/>
        </w:rPr>
        <w:t xml:space="preserve"> 16</w:t>
      </w:r>
      <w:r w:rsidR="00D90584">
        <w:rPr>
          <w:rFonts w:ascii="Verdana" w:hAnsi="Verdana"/>
          <w:bCs/>
          <w:sz w:val="20"/>
          <w:szCs w:val="20"/>
        </w:rPr>
        <w:t xml:space="preserve"> settembre 20</w:t>
      </w:r>
      <w:r w:rsidR="00D90584" w:rsidRPr="00C71D09">
        <w:rPr>
          <w:rFonts w:ascii="Verdana" w:hAnsi="Verdana"/>
          <w:bCs/>
          <w:sz w:val="20"/>
          <w:szCs w:val="20"/>
          <w:lang w:val="x-none"/>
        </w:rPr>
        <w:t xml:space="preserve">14, </w:t>
      </w:r>
      <w:r w:rsidR="00D90584" w:rsidRPr="00133220">
        <w:rPr>
          <w:rFonts w:ascii="Verdana" w:hAnsi="Verdana"/>
          <w:bCs/>
          <w:i/>
          <w:sz w:val="20"/>
          <w:szCs w:val="20"/>
          <w:lang w:val="x-none"/>
        </w:rPr>
        <w:t>Stella ed a. c. Italia</w:t>
      </w:r>
      <w:r w:rsidRPr="00C71D09">
        <w:rPr>
          <w:rFonts w:ascii="Verdana" w:hAnsi="Verdana"/>
          <w:bCs/>
          <w:sz w:val="20"/>
          <w:szCs w:val="20"/>
        </w:rPr>
        <w:t xml:space="preserve">, in </w:t>
      </w:r>
      <w:r w:rsidR="00133220">
        <w:rPr>
          <w:rFonts w:ascii="Verdana" w:hAnsi="Verdana"/>
          <w:bCs/>
          <w:i/>
          <w:sz w:val="20"/>
          <w:szCs w:val="20"/>
        </w:rPr>
        <w:t xml:space="preserve">Dir. Pen. </w:t>
      </w:r>
      <w:proofErr w:type="spellStart"/>
      <w:r w:rsidR="00133220">
        <w:rPr>
          <w:rFonts w:ascii="Verdana" w:hAnsi="Verdana"/>
          <w:bCs/>
          <w:i/>
          <w:sz w:val="20"/>
          <w:szCs w:val="20"/>
        </w:rPr>
        <w:t>Cont</w:t>
      </w:r>
      <w:proofErr w:type="spellEnd"/>
      <w:r w:rsidR="00133220">
        <w:rPr>
          <w:rFonts w:ascii="Verdana" w:hAnsi="Verdana"/>
          <w:bCs/>
          <w:i/>
          <w:sz w:val="20"/>
          <w:szCs w:val="20"/>
        </w:rPr>
        <w:t xml:space="preserve">. online, </w:t>
      </w:r>
      <w:r w:rsidRPr="00C71D09">
        <w:rPr>
          <w:rFonts w:ascii="Verdana" w:hAnsi="Verdana"/>
          <w:bCs/>
          <w:sz w:val="20"/>
          <w:szCs w:val="20"/>
        </w:rPr>
        <w:t>7 novembre 2014</w:t>
      </w:r>
      <w:r w:rsidR="00D90584">
        <w:rPr>
          <w:rFonts w:ascii="Verdana" w:hAnsi="Verdana"/>
          <w:bCs/>
          <w:sz w:val="20"/>
          <w:szCs w:val="20"/>
        </w:rPr>
        <w:t>).</w:t>
      </w:r>
    </w:p>
    <w:p w:rsidR="005872DC" w:rsidRPr="00C71D09" w:rsidRDefault="005872DC" w:rsidP="005872DC">
      <w:pPr>
        <w:pStyle w:val="Testonotaapidipagina"/>
        <w:jc w:val="both"/>
        <w:rPr>
          <w:rFonts w:ascii="Verdana" w:hAnsi="Verdana"/>
        </w:rPr>
      </w:pPr>
    </w:p>
  </w:footnote>
  <w:footnote w:id="14">
    <w:p w:rsidR="00D32421" w:rsidRPr="00D32421" w:rsidRDefault="00D32421" w:rsidP="00D32421">
      <w:pPr>
        <w:pStyle w:val="Testonotaapidipagina"/>
      </w:pPr>
      <w:r>
        <w:rPr>
          <w:rStyle w:val="Rimandonotaapidipagina"/>
        </w:rPr>
        <w:footnoteRef/>
      </w:r>
      <w:r>
        <w:t xml:space="preserve"> </w:t>
      </w:r>
      <w:r>
        <w:rPr>
          <w:bCs/>
        </w:rPr>
        <w:t xml:space="preserve">Cfr. </w:t>
      </w:r>
      <w:r w:rsidRPr="00D32421">
        <w:rPr>
          <w:bCs/>
        </w:rPr>
        <w:t xml:space="preserve">Sez. I, 15 gennaio 2013, n.4772, </w:t>
      </w:r>
      <w:r w:rsidRPr="00D32421">
        <w:t xml:space="preserve">in </w:t>
      </w:r>
      <w:r w:rsidRPr="00D32421">
        <w:rPr>
          <w:i/>
        </w:rPr>
        <w:t xml:space="preserve">C.E.D. </w:t>
      </w:r>
      <w:proofErr w:type="spellStart"/>
      <w:r w:rsidRPr="00D32421">
        <w:rPr>
          <w:i/>
        </w:rPr>
        <w:t>Cass</w:t>
      </w:r>
      <w:proofErr w:type="spellEnd"/>
      <w:r w:rsidRPr="00D32421">
        <w:rPr>
          <w:bCs/>
          <w:i/>
        </w:rPr>
        <w:t xml:space="preserve"> </w:t>
      </w:r>
      <w:r w:rsidRPr="00D32421">
        <w:rPr>
          <w:bCs/>
        </w:rPr>
        <w:t>n.254271</w:t>
      </w:r>
      <w:r>
        <w:rPr>
          <w:bCs/>
        </w:rPr>
        <w:t>, cit</w:t>
      </w:r>
      <w:r w:rsidRPr="00D32421">
        <w:rPr>
          <w:bCs/>
        </w:rPr>
        <w:t>.</w:t>
      </w:r>
      <w:r>
        <w:rPr>
          <w:bCs/>
        </w:rPr>
        <w:t>, e i numerosi seguiti.</w:t>
      </w:r>
    </w:p>
    <w:p w:rsidR="00D32421" w:rsidRDefault="00D32421">
      <w:pPr>
        <w:pStyle w:val="Testonotaapidipagina"/>
      </w:pPr>
    </w:p>
  </w:footnote>
  <w:footnote w:id="15">
    <w:p w:rsidR="007F4E54" w:rsidRDefault="007F4E54" w:rsidP="007F4E54">
      <w:pPr>
        <w:pStyle w:val="Testonotaapidipagina"/>
        <w:jc w:val="both"/>
      </w:pPr>
      <w:r>
        <w:rPr>
          <w:rStyle w:val="Rimandonotaapidipagina"/>
        </w:rPr>
        <w:footnoteRef/>
      </w:r>
      <w:r>
        <w:t xml:space="preserve"> E, si dovrebbe più esattamente dire: “convenzionalmente imposto” dal vincolo, stabilito dal comma 1, art. 35-ter </w:t>
      </w:r>
      <w:proofErr w:type="spellStart"/>
      <w:r>
        <w:t>ord</w:t>
      </w:r>
      <w:proofErr w:type="spellEnd"/>
      <w:r>
        <w:t xml:space="preserve">. </w:t>
      </w:r>
      <w:proofErr w:type="spellStart"/>
      <w:proofErr w:type="gramStart"/>
      <w:r>
        <w:t>penit</w:t>
      </w:r>
      <w:proofErr w:type="spellEnd"/>
      <w:r>
        <w:t>.,</w:t>
      </w:r>
      <w:proofErr w:type="gramEnd"/>
      <w:r>
        <w:t xml:space="preserve"> per il giudice italiano di conformare la propria interpretazione dell’art. 3 CEDU a quella della Corte di Strasburgo.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6647E"/>
    <w:multiLevelType w:val="hybridMultilevel"/>
    <w:tmpl w:val="BB02CA34"/>
    <w:lvl w:ilvl="0" w:tplc="A916268A">
      <w:start w:val="1"/>
      <w:numFmt w:val="decimal"/>
      <w:lvlText w:val="%1."/>
      <w:lvlJc w:val="left"/>
      <w:pPr>
        <w:ind w:left="786" w:hanging="360"/>
      </w:pPr>
      <w:rPr>
        <w:rFonts w:hint="default"/>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6B5146DF"/>
    <w:multiLevelType w:val="hybridMultilevel"/>
    <w:tmpl w:val="F606F3CA"/>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91D"/>
    <w:rsid w:val="00030A17"/>
    <w:rsid w:val="00052FBA"/>
    <w:rsid w:val="00093E8C"/>
    <w:rsid w:val="000A394D"/>
    <w:rsid w:val="000C253B"/>
    <w:rsid w:val="000E1EFE"/>
    <w:rsid w:val="000E3CDF"/>
    <w:rsid w:val="00113D9C"/>
    <w:rsid w:val="00131C30"/>
    <w:rsid w:val="00133220"/>
    <w:rsid w:val="00193812"/>
    <w:rsid w:val="001A5E27"/>
    <w:rsid w:val="001E3647"/>
    <w:rsid w:val="00256668"/>
    <w:rsid w:val="0026191D"/>
    <w:rsid w:val="00277536"/>
    <w:rsid w:val="00285903"/>
    <w:rsid w:val="002A03F7"/>
    <w:rsid w:val="002B4458"/>
    <w:rsid w:val="00357962"/>
    <w:rsid w:val="003A125F"/>
    <w:rsid w:val="003B1DCF"/>
    <w:rsid w:val="003C1D6D"/>
    <w:rsid w:val="003C60F1"/>
    <w:rsid w:val="003D5860"/>
    <w:rsid w:val="00430B24"/>
    <w:rsid w:val="00464787"/>
    <w:rsid w:val="00474CAB"/>
    <w:rsid w:val="004F7539"/>
    <w:rsid w:val="0054189D"/>
    <w:rsid w:val="005872DC"/>
    <w:rsid w:val="005931F6"/>
    <w:rsid w:val="00633DDC"/>
    <w:rsid w:val="00651319"/>
    <w:rsid w:val="00661157"/>
    <w:rsid w:val="00680955"/>
    <w:rsid w:val="006A4BC6"/>
    <w:rsid w:val="006A7212"/>
    <w:rsid w:val="006F6C2D"/>
    <w:rsid w:val="007338D7"/>
    <w:rsid w:val="007459E0"/>
    <w:rsid w:val="00746EB6"/>
    <w:rsid w:val="007751E6"/>
    <w:rsid w:val="00785D94"/>
    <w:rsid w:val="00787AE9"/>
    <w:rsid w:val="007F4E54"/>
    <w:rsid w:val="00804231"/>
    <w:rsid w:val="008124A7"/>
    <w:rsid w:val="00821EC8"/>
    <w:rsid w:val="008415C0"/>
    <w:rsid w:val="00881DD8"/>
    <w:rsid w:val="008852FA"/>
    <w:rsid w:val="008A07F1"/>
    <w:rsid w:val="008E2C0F"/>
    <w:rsid w:val="008E2CB0"/>
    <w:rsid w:val="00971758"/>
    <w:rsid w:val="009972B0"/>
    <w:rsid w:val="009C37CB"/>
    <w:rsid w:val="009D75CC"/>
    <w:rsid w:val="009E1DAA"/>
    <w:rsid w:val="00A20D1B"/>
    <w:rsid w:val="00A34B86"/>
    <w:rsid w:val="00A4631D"/>
    <w:rsid w:val="00A71485"/>
    <w:rsid w:val="00A778F1"/>
    <w:rsid w:val="00A77FEE"/>
    <w:rsid w:val="00A83F7E"/>
    <w:rsid w:val="00AA1A1E"/>
    <w:rsid w:val="00AB59B7"/>
    <w:rsid w:val="00AC1C47"/>
    <w:rsid w:val="00AC5646"/>
    <w:rsid w:val="00AF6D4C"/>
    <w:rsid w:val="00B649E1"/>
    <w:rsid w:val="00B74663"/>
    <w:rsid w:val="00B85BF9"/>
    <w:rsid w:val="00BA3E54"/>
    <w:rsid w:val="00BA522E"/>
    <w:rsid w:val="00BB359C"/>
    <w:rsid w:val="00BE2F61"/>
    <w:rsid w:val="00BE6311"/>
    <w:rsid w:val="00C1453B"/>
    <w:rsid w:val="00C36877"/>
    <w:rsid w:val="00C42AE1"/>
    <w:rsid w:val="00C56B3E"/>
    <w:rsid w:val="00C71D09"/>
    <w:rsid w:val="00C90020"/>
    <w:rsid w:val="00CB50D1"/>
    <w:rsid w:val="00CD49D0"/>
    <w:rsid w:val="00CF03DD"/>
    <w:rsid w:val="00CF6156"/>
    <w:rsid w:val="00D00C56"/>
    <w:rsid w:val="00D15230"/>
    <w:rsid w:val="00D20DC3"/>
    <w:rsid w:val="00D32421"/>
    <w:rsid w:val="00D8327F"/>
    <w:rsid w:val="00D90584"/>
    <w:rsid w:val="00D90DC1"/>
    <w:rsid w:val="00DF47CB"/>
    <w:rsid w:val="00DF4B55"/>
    <w:rsid w:val="00DF7A5B"/>
    <w:rsid w:val="00E564E7"/>
    <w:rsid w:val="00E95CB4"/>
    <w:rsid w:val="00EA2B1A"/>
    <w:rsid w:val="00EE008A"/>
    <w:rsid w:val="00EE40F7"/>
    <w:rsid w:val="00F17DED"/>
    <w:rsid w:val="00F41894"/>
    <w:rsid w:val="00FA6FF8"/>
    <w:rsid w:val="00FB6397"/>
    <w:rsid w:val="00FD0119"/>
    <w:rsid w:val="00FD7CB6"/>
    <w:rsid w:val="00FE0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362AE-6C84-47B0-81F8-9832D204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74CAB"/>
    <w:rPr>
      <w:color w:val="0563C1" w:themeColor="hyperlink"/>
      <w:u w:val="single"/>
    </w:rPr>
  </w:style>
  <w:style w:type="paragraph" w:styleId="Testonotaapidipagina">
    <w:name w:val="footnote text"/>
    <w:basedOn w:val="Normale"/>
    <w:link w:val="TestonotaapidipaginaCarattere"/>
    <w:uiPriority w:val="99"/>
    <w:semiHidden/>
    <w:unhideWhenUsed/>
    <w:rsid w:val="00093E8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93E8C"/>
    <w:rPr>
      <w:sz w:val="20"/>
      <w:szCs w:val="20"/>
    </w:rPr>
  </w:style>
  <w:style w:type="character" w:styleId="Rimandonotaapidipagina">
    <w:name w:val="footnote reference"/>
    <w:aliases w:val="FZ"/>
    <w:basedOn w:val="Carpredefinitoparagrafo"/>
    <w:unhideWhenUsed/>
    <w:rsid w:val="00093E8C"/>
    <w:rPr>
      <w:vertAlign w:val="superscript"/>
    </w:rPr>
  </w:style>
  <w:style w:type="paragraph" w:styleId="Paragrafoelenco">
    <w:name w:val="List Paragraph"/>
    <w:basedOn w:val="Normale"/>
    <w:uiPriority w:val="34"/>
    <w:qFormat/>
    <w:rsid w:val="002B4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90BC2-4BDA-43B3-9EDB-89F19C6A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Pages>
  <Words>3426</Words>
  <Characters>21416</Characters>
  <Application>Microsoft Office Word</Application>
  <DocSecurity>0</DocSecurity>
  <Lines>345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dc:description/>
  <cp:lastModifiedBy>fabio</cp:lastModifiedBy>
  <cp:revision>31</cp:revision>
  <dcterms:created xsi:type="dcterms:W3CDTF">2015-11-14T07:16:00Z</dcterms:created>
  <dcterms:modified xsi:type="dcterms:W3CDTF">2015-12-02T22:09:00Z</dcterms:modified>
</cp:coreProperties>
</file>