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DD" w:rsidRDefault="00D13ADD" w:rsidP="00847EF3">
      <w:pPr>
        <w:spacing w:line="240" w:lineRule="auto"/>
        <w:rPr>
          <w:rFonts w:ascii="Times New Roman" w:hAnsi="Times New Roman" w:cs="Times New Roman"/>
          <w:sz w:val="28"/>
          <w:szCs w:val="28"/>
        </w:rPr>
      </w:pPr>
    </w:p>
    <w:p w:rsidR="00D13ADD" w:rsidRDefault="00D13ADD"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CORTE EUROPEA DEI DIRITTI</w:t>
      </w:r>
      <w:r w:rsidR="00BC364A">
        <w:rPr>
          <w:rFonts w:ascii="Times New Roman" w:hAnsi="Times New Roman" w:cs="Times New Roman"/>
          <w:sz w:val="28"/>
          <w:szCs w:val="28"/>
        </w:rPr>
        <w:t xml:space="preserve"> </w:t>
      </w:r>
      <w:r>
        <w:rPr>
          <w:rFonts w:ascii="Times New Roman" w:hAnsi="Times New Roman" w:cs="Times New Roman"/>
          <w:sz w:val="28"/>
          <w:szCs w:val="28"/>
        </w:rPr>
        <w:t>DELL’UOMO</w:t>
      </w:r>
    </w:p>
    <w:p w:rsidR="00D13ADD" w:rsidRDefault="00D13ADD"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PRIMA SEZIONE</w:t>
      </w:r>
    </w:p>
    <w:p w:rsidR="00D13ADD" w:rsidRDefault="00D13ADD"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CAUSA MUR</w:t>
      </w:r>
      <w:r w:rsidR="00562B22">
        <w:rPr>
          <w:rFonts w:ascii="Times New Roman" w:hAnsi="Times New Roman" w:cs="Times New Roman"/>
          <w:sz w:val="28"/>
          <w:szCs w:val="28"/>
        </w:rPr>
        <w:t>ŠIČ C. CROAZIA</w:t>
      </w:r>
    </w:p>
    <w:p w:rsidR="00562B22" w:rsidRDefault="00562B22"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(Ricorso n. 7334/13)</w:t>
      </w:r>
    </w:p>
    <w:p w:rsidR="00562B22" w:rsidRDefault="00562B22" w:rsidP="00D13ADD">
      <w:pPr>
        <w:spacing w:line="240" w:lineRule="auto"/>
        <w:jc w:val="center"/>
        <w:rPr>
          <w:rFonts w:ascii="Times New Roman" w:hAnsi="Times New Roman" w:cs="Times New Roman"/>
          <w:sz w:val="28"/>
          <w:szCs w:val="28"/>
        </w:rPr>
      </w:pPr>
    </w:p>
    <w:p w:rsidR="00562B22" w:rsidRDefault="00562B22" w:rsidP="00562B22">
      <w:pPr>
        <w:spacing w:line="240" w:lineRule="auto"/>
        <w:jc w:val="center"/>
        <w:rPr>
          <w:rFonts w:ascii="Times New Roman" w:hAnsi="Times New Roman" w:cs="Times New Roman"/>
          <w:sz w:val="28"/>
          <w:szCs w:val="28"/>
        </w:rPr>
      </w:pPr>
      <w:r>
        <w:rPr>
          <w:rFonts w:ascii="Times New Roman" w:hAnsi="Times New Roman" w:cs="Times New Roman"/>
          <w:sz w:val="28"/>
          <w:szCs w:val="28"/>
        </w:rPr>
        <w:t>SENTENZA</w:t>
      </w:r>
    </w:p>
    <w:p w:rsidR="00562B22" w:rsidRDefault="00562B22" w:rsidP="00562B22">
      <w:pPr>
        <w:spacing w:line="240" w:lineRule="auto"/>
        <w:jc w:val="center"/>
        <w:rPr>
          <w:rFonts w:ascii="Times New Roman" w:hAnsi="Times New Roman" w:cs="Times New Roman"/>
          <w:sz w:val="28"/>
          <w:szCs w:val="28"/>
        </w:rPr>
      </w:pPr>
    </w:p>
    <w:p w:rsidR="00562B22" w:rsidRDefault="00562B22"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STRASBURGO</w:t>
      </w:r>
    </w:p>
    <w:p w:rsidR="00562B22" w:rsidRDefault="00562B22" w:rsidP="00D13ADD">
      <w:pPr>
        <w:spacing w:line="240" w:lineRule="auto"/>
        <w:jc w:val="center"/>
        <w:rPr>
          <w:rFonts w:ascii="Times New Roman" w:hAnsi="Times New Roman" w:cs="Times New Roman"/>
          <w:sz w:val="28"/>
          <w:szCs w:val="28"/>
        </w:rPr>
      </w:pPr>
      <w:r>
        <w:rPr>
          <w:rFonts w:ascii="Times New Roman" w:hAnsi="Times New Roman" w:cs="Times New Roman"/>
          <w:sz w:val="28"/>
          <w:szCs w:val="28"/>
        </w:rPr>
        <w:t>12 MARZO 2015</w:t>
      </w:r>
    </w:p>
    <w:p w:rsidR="00562B22" w:rsidRDefault="00562B22" w:rsidP="00D13ADD">
      <w:pPr>
        <w:spacing w:line="240" w:lineRule="auto"/>
        <w:jc w:val="center"/>
        <w:rPr>
          <w:rFonts w:ascii="Times New Roman" w:hAnsi="Times New Roman" w:cs="Times New Roman"/>
          <w:sz w:val="28"/>
          <w:szCs w:val="28"/>
        </w:rPr>
      </w:pPr>
    </w:p>
    <w:p w:rsidR="00562B22" w:rsidRDefault="00562B22" w:rsidP="00562B22">
      <w:pPr>
        <w:spacing w:line="240" w:lineRule="auto"/>
        <w:rPr>
          <w:rFonts w:ascii="Times New Roman" w:hAnsi="Times New Roman" w:cs="Times New Roman"/>
          <w:sz w:val="28"/>
          <w:szCs w:val="28"/>
        </w:rPr>
      </w:pPr>
      <w:r>
        <w:rPr>
          <w:rFonts w:ascii="Times New Roman" w:hAnsi="Times New Roman" w:cs="Times New Roman"/>
          <w:sz w:val="28"/>
          <w:szCs w:val="28"/>
        </w:rPr>
        <w:t>Questa sentenza diverrà definitiva alle condizioni definite nell’articolo 44 § 2 della Convenzione. Può subire modifiche di forma.</w:t>
      </w:r>
    </w:p>
    <w:p w:rsidR="00D13ADD" w:rsidRDefault="00D13ADD" w:rsidP="00847EF3">
      <w:pPr>
        <w:spacing w:line="240" w:lineRule="auto"/>
        <w:rPr>
          <w:rFonts w:ascii="Times New Roman" w:hAnsi="Times New Roman" w:cs="Times New Roman"/>
          <w:sz w:val="28"/>
          <w:szCs w:val="28"/>
        </w:rPr>
      </w:pPr>
    </w:p>
    <w:p w:rsidR="00D13ADD" w:rsidRDefault="00D13ADD" w:rsidP="00847EF3">
      <w:pPr>
        <w:spacing w:line="240" w:lineRule="auto"/>
        <w:rPr>
          <w:rFonts w:ascii="Times New Roman" w:hAnsi="Times New Roman" w:cs="Times New Roman"/>
          <w:sz w:val="28"/>
          <w:szCs w:val="28"/>
        </w:rPr>
      </w:pPr>
    </w:p>
    <w:p w:rsidR="00AE5577" w:rsidRPr="008708EC" w:rsidRDefault="00F37731" w:rsidP="00847EF3">
      <w:pPr>
        <w:spacing w:line="240" w:lineRule="auto"/>
        <w:rPr>
          <w:rFonts w:ascii="Times New Roman" w:hAnsi="Times New Roman" w:cs="Times New Roman"/>
          <w:b/>
          <w:sz w:val="28"/>
          <w:szCs w:val="28"/>
        </w:rPr>
      </w:pPr>
      <w:r w:rsidRPr="008708EC">
        <w:rPr>
          <w:rFonts w:ascii="Times New Roman" w:hAnsi="Times New Roman" w:cs="Times New Roman"/>
          <w:b/>
          <w:sz w:val="28"/>
          <w:szCs w:val="28"/>
        </w:rPr>
        <w:t xml:space="preserve">Nella causa </w:t>
      </w:r>
      <w:proofErr w:type="spellStart"/>
      <w:r w:rsidRPr="008708EC">
        <w:rPr>
          <w:rFonts w:ascii="Times New Roman" w:hAnsi="Times New Roman" w:cs="Times New Roman"/>
          <w:b/>
          <w:sz w:val="28"/>
          <w:szCs w:val="28"/>
        </w:rPr>
        <w:t>Murši</w:t>
      </w:r>
      <w:r w:rsidR="00B54EF2" w:rsidRPr="008708EC">
        <w:rPr>
          <w:rFonts w:ascii="Times New Roman" w:hAnsi="Times New Roman" w:cs="Times New Roman"/>
          <w:b/>
          <w:sz w:val="28"/>
          <w:szCs w:val="28"/>
        </w:rPr>
        <w:t>ć</w:t>
      </w:r>
      <w:proofErr w:type="spellEnd"/>
      <w:r w:rsidR="00B54EF2" w:rsidRPr="008708EC">
        <w:rPr>
          <w:rFonts w:ascii="Times New Roman" w:hAnsi="Times New Roman" w:cs="Times New Roman"/>
          <w:b/>
          <w:sz w:val="28"/>
          <w:szCs w:val="28"/>
        </w:rPr>
        <w:t xml:space="preserve"> c. </w:t>
      </w:r>
      <w:proofErr w:type="spellStart"/>
      <w:r w:rsidR="00B54EF2" w:rsidRPr="008708EC">
        <w:rPr>
          <w:rFonts w:ascii="Times New Roman" w:hAnsi="Times New Roman" w:cs="Times New Roman"/>
          <w:b/>
          <w:sz w:val="28"/>
          <w:szCs w:val="28"/>
        </w:rPr>
        <w:t>Croatia</w:t>
      </w:r>
      <w:proofErr w:type="spellEnd"/>
      <w:r w:rsidR="00B54EF2" w:rsidRPr="008708EC">
        <w:rPr>
          <w:rFonts w:ascii="Times New Roman" w:hAnsi="Times New Roman" w:cs="Times New Roman"/>
          <w:b/>
          <w:sz w:val="28"/>
          <w:szCs w:val="28"/>
        </w:rPr>
        <w:t>,</w:t>
      </w:r>
    </w:p>
    <w:p w:rsidR="00B54EF2" w:rsidRPr="00572778" w:rsidRDefault="00B54EF2" w:rsidP="00847EF3">
      <w:pPr>
        <w:spacing w:line="240" w:lineRule="auto"/>
        <w:rPr>
          <w:rFonts w:ascii="Times New Roman" w:hAnsi="Times New Roman" w:cs="Times New Roman"/>
          <w:sz w:val="28"/>
          <w:szCs w:val="28"/>
        </w:rPr>
      </w:pPr>
      <w:r w:rsidRPr="00572778">
        <w:rPr>
          <w:rFonts w:ascii="Times New Roman" w:hAnsi="Times New Roman" w:cs="Times New Roman"/>
          <w:sz w:val="28"/>
          <w:szCs w:val="28"/>
        </w:rPr>
        <w:t>La Corte Europea dei diritti dell’uomo (prima sezione) riunita in una camera composta da:</w:t>
      </w:r>
    </w:p>
    <w:p w:rsidR="00B54EF2" w:rsidRPr="00572778" w:rsidRDefault="00B54EF2" w:rsidP="00847EF3">
      <w:pPr>
        <w:spacing w:line="240" w:lineRule="auto"/>
        <w:rPr>
          <w:rFonts w:ascii="Times New Roman" w:hAnsi="Times New Roman" w:cs="Times New Roman"/>
          <w:i/>
          <w:sz w:val="28"/>
          <w:szCs w:val="28"/>
        </w:rPr>
      </w:pPr>
      <w:r w:rsidRPr="00572778">
        <w:rPr>
          <w:rFonts w:ascii="Times New Roman" w:hAnsi="Times New Roman" w:cs="Times New Roman"/>
          <w:sz w:val="28"/>
          <w:szCs w:val="28"/>
        </w:rPr>
        <w:t xml:space="preserve">Isabelle </w:t>
      </w:r>
      <w:proofErr w:type="spellStart"/>
      <w:r w:rsidRPr="00572778">
        <w:rPr>
          <w:rFonts w:ascii="Times New Roman" w:hAnsi="Times New Roman" w:cs="Times New Roman"/>
          <w:sz w:val="28"/>
          <w:szCs w:val="28"/>
        </w:rPr>
        <w:t>Berro</w:t>
      </w:r>
      <w:proofErr w:type="spellEnd"/>
      <w:r w:rsidRPr="00572778">
        <w:rPr>
          <w:rFonts w:ascii="Times New Roman" w:hAnsi="Times New Roman" w:cs="Times New Roman"/>
          <w:i/>
          <w:sz w:val="28"/>
          <w:szCs w:val="28"/>
        </w:rPr>
        <w:t>, Presidente,</w:t>
      </w:r>
    </w:p>
    <w:p w:rsidR="00B54EF2" w:rsidRPr="00572778" w:rsidRDefault="00B54EF2" w:rsidP="00847EF3">
      <w:pPr>
        <w:spacing w:line="240" w:lineRule="auto"/>
        <w:rPr>
          <w:rFonts w:ascii="Times New Roman" w:hAnsi="Times New Roman" w:cs="Times New Roman"/>
          <w:sz w:val="28"/>
          <w:szCs w:val="28"/>
        </w:rPr>
      </w:pPr>
      <w:proofErr w:type="spellStart"/>
      <w:r w:rsidRPr="00572778">
        <w:rPr>
          <w:rFonts w:ascii="Times New Roman" w:hAnsi="Times New Roman" w:cs="Times New Roman"/>
          <w:sz w:val="28"/>
          <w:szCs w:val="28"/>
        </w:rPr>
        <w:t>Khanlar</w:t>
      </w:r>
      <w:proofErr w:type="spellEnd"/>
      <w:r w:rsidRPr="00572778">
        <w:rPr>
          <w:rFonts w:ascii="Times New Roman" w:hAnsi="Times New Roman" w:cs="Times New Roman"/>
          <w:sz w:val="28"/>
          <w:szCs w:val="28"/>
        </w:rPr>
        <w:t xml:space="preserve"> </w:t>
      </w:r>
      <w:proofErr w:type="spellStart"/>
      <w:r w:rsidRPr="00572778">
        <w:rPr>
          <w:rFonts w:ascii="Times New Roman" w:hAnsi="Times New Roman" w:cs="Times New Roman"/>
          <w:sz w:val="28"/>
          <w:szCs w:val="28"/>
        </w:rPr>
        <w:t>Hajiyev</w:t>
      </w:r>
      <w:proofErr w:type="spellEnd"/>
      <w:r w:rsidRPr="00572778">
        <w:rPr>
          <w:rFonts w:ascii="Times New Roman" w:hAnsi="Times New Roman" w:cs="Times New Roman"/>
          <w:sz w:val="28"/>
          <w:szCs w:val="28"/>
        </w:rPr>
        <w:t>,</w:t>
      </w:r>
    </w:p>
    <w:p w:rsidR="00B54EF2" w:rsidRPr="00572778" w:rsidRDefault="00B54EF2" w:rsidP="00847EF3">
      <w:pPr>
        <w:spacing w:line="240" w:lineRule="auto"/>
        <w:rPr>
          <w:rFonts w:ascii="Times New Roman" w:hAnsi="Times New Roman" w:cs="Times New Roman"/>
          <w:sz w:val="28"/>
          <w:szCs w:val="28"/>
        </w:rPr>
      </w:pPr>
      <w:r w:rsidRPr="00572778">
        <w:rPr>
          <w:rFonts w:ascii="Times New Roman" w:hAnsi="Times New Roman" w:cs="Times New Roman"/>
          <w:sz w:val="28"/>
          <w:szCs w:val="28"/>
        </w:rPr>
        <w:t xml:space="preserve">Julia </w:t>
      </w:r>
      <w:proofErr w:type="spellStart"/>
      <w:r w:rsidRPr="00572778">
        <w:rPr>
          <w:rFonts w:ascii="Times New Roman" w:hAnsi="Times New Roman" w:cs="Times New Roman"/>
          <w:sz w:val="28"/>
          <w:szCs w:val="28"/>
        </w:rPr>
        <w:t>Laffranque</w:t>
      </w:r>
      <w:proofErr w:type="spellEnd"/>
      <w:r w:rsidRPr="00572778">
        <w:rPr>
          <w:rFonts w:ascii="Times New Roman" w:hAnsi="Times New Roman" w:cs="Times New Roman"/>
          <w:sz w:val="28"/>
          <w:szCs w:val="28"/>
        </w:rPr>
        <w:t>,</w:t>
      </w:r>
    </w:p>
    <w:p w:rsidR="00B54EF2" w:rsidRPr="00572778" w:rsidRDefault="00B54EF2" w:rsidP="00847EF3">
      <w:pPr>
        <w:spacing w:line="240" w:lineRule="auto"/>
        <w:rPr>
          <w:rFonts w:ascii="Times New Roman" w:hAnsi="Times New Roman" w:cs="Times New Roman"/>
          <w:sz w:val="28"/>
          <w:szCs w:val="28"/>
        </w:rPr>
      </w:pPr>
      <w:proofErr w:type="spellStart"/>
      <w:r w:rsidRPr="00572778">
        <w:rPr>
          <w:rFonts w:ascii="Times New Roman" w:hAnsi="Times New Roman" w:cs="Times New Roman"/>
          <w:sz w:val="28"/>
          <w:szCs w:val="28"/>
        </w:rPr>
        <w:t>Linos</w:t>
      </w:r>
      <w:proofErr w:type="spellEnd"/>
      <w:r w:rsidRPr="00572778">
        <w:rPr>
          <w:rFonts w:ascii="Times New Roman" w:hAnsi="Times New Roman" w:cs="Times New Roman"/>
          <w:sz w:val="28"/>
          <w:szCs w:val="28"/>
        </w:rPr>
        <w:t xml:space="preserve">-Alexandre </w:t>
      </w:r>
      <w:proofErr w:type="spellStart"/>
      <w:r w:rsidRPr="00572778">
        <w:rPr>
          <w:rFonts w:ascii="Times New Roman" w:hAnsi="Times New Roman" w:cs="Times New Roman"/>
          <w:sz w:val="28"/>
          <w:szCs w:val="28"/>
        </w:rPr>
        <w:t>Sicilianos</w:t>
      </w:r>
      <w:proofErr w:type="spellEnd"/>
      <w:r w:rsidRPr="00572778">
        <w:rPr>
          <w:rFonts w:ascii="Times New Roman" w:hAnsi="Times New Roman" w:cs="Times New Roman"/>
          <w:sz w:val="28"/>
          <w:szCs w:val="28"/>
        </w:rPr>
        <w:t>,</w:t>
      </w:r>
    </w:p>
    <w:p w:rsidR="00B54EF2" w:rsidRPr="00572778" w:rsidRDefault="00B54EF2" w:rsidP="00847EF3">
      <w:pPr>
        <w:spacing w:line="240" w:lineRule="auto"/>
        <w:rPr>
          <w:rFonts w:ascii="Times New Roman" w:hAnsi="Times New Roman" w:cs="Times New Roman"/>
          <w:sz w:val="28"/>
          <w:szCs w:val="28"/>
        </w:rPr>
      </w:pPr>
      <w:r w:rsidRPr="00572778">
        <w:rPr>
          <w:rFonts w:ascii="Times New Roman" w:hAnsi="Times New Roman" w:cs="Times New Roman"/>
          <w:sz w:val="28"/>
          <w:szCs w:val="28"/>
        </w:rPr>
        <w:t xml:space="preserve">Erik </w:t>
      </w:r>
      <w:proofErr w:type="spellStart"/>
      <w:r w:rsidRPr="00572778">
        <w:rPr>
          <w:rFonts w:ascii="Times New Roman" w:hAnsi="Times New Roman" w:cs="Times New Roman"/>
          <w:sz w:val="28"/>
          <w:szCs w:val="28"/>
        </w:rPr>
        <w:t>M</w:t>
      </w:r>
      <w:r w:rsidR="00847EF3" w:rsidRPr="00572778">
        <w:rPr>
          <w:rFonts w:ascii="Times New Roman" w:hAnsi="Times New Roman" w:cs="Times New Roman"/>
          <w:sz w:val="28"/>
          <w:szCs w:val="28"/>
        </w:rPr>
        <w:t>ø</w:t>
      </w:r>
      <w:r w:rsidRPr="00572778">
        <w:rPr>
          <w:rFonts w:ascii="Times New Roman" w:hAnsi="Times New Roman" w:cs="Times New Roman"/>
          <w:sz w:val="28"/>
          <w:szCs w:val="28"/>
        </w:rPr>
        <w:t>se</w:t>
      </w:r>
      <w:proofErr w:type="spellEnd"/>
      <w:r w:rsidRPr="00572778">
        <w:rPr>
          <w:rFonts w:ascii="Times New Roman" w:hAnsi="Times New Roman" w:cs="Times New Roman"/>
          <w:sz w:val="28"/>
          <w:szCs w:val="28"/>
        </w:rPr>
        <w:t>,</w:t>
      </w:r>
    </w:p>
    <w:p w:rsidR="00B54EF2" w:rsidRPr="00572778" w:rsidRDefault="00B54EF2" w:rsidP="00847EF3">
      <w:pPr>
        <w:spacing w:line="240" w:lineRule="auto"/>
        <w:rPr>
          <w:rFonts w:ascii="Times New Roman" w:hAnsi="Times New Roman" w:cs="Times New Roman"/>
          <w:sz w:val="28"/>
          <w:szCs w:val="28"/>
        </w:rPr>
      </w:pPr>
      <w:proofErr w:type="spellStart"/>
      <w:r w:rsidRPr="00572778">
        <w:rPr>
          <w:rFonts w:ascii="Times New Roman" w:hAnsi="Times New Roman" w:cs="Times New Roman"/>
          <w:sz w:val="28"/>
          <w:szCs w:val="28"/>
        </w:rPr>
        <w:t>Ksenija</w:t>
      </w:r>
      <w:proofErr w:type="spellEnd"/>
      <w:r w:rsidRPr="00572778">
        <w:rPr>
          <w:rFonts w:ascii="Times New Roman" w:hAnsi="Times New Roman" w:cs="Times New Roman"/>
          <w:sz w:val="28"/>
          <w:szCs w:val="28"/>
        </w:rPr>
        <w:t xml:space="preserve"> </w:t>
      </w:r>
      <w:proofErr w:type="spellStart"/>
      <w:r w:rsidRPr="00572778">
        <w:rPr>
          <w:rFonts w:ascii="Times New Roman" w:hAnsi="Times New Roman" w:cs="Times New Roman"/>
          <w:sz w:val="28"/>
          <w:szCs w:val="28"/>
        </w:rPr>
        <w:t>Turković</w:t>
      </w:r>
      <w:proofErr w:type="spellEnd"/>
      <w:r w:rsidR="00E71E91" w:rsidRPr="00572778">
        <w:rPr>
          <w:rFonts w:ascii="Times New Roman" w:hAnsi="Times New Roman" w:cs="Times New Roman"/>
          <w:sz w:val="28"/>
          <w:szCs w:val="28"/>
        </w:rPr>
        <w:t>,</w:t>
      </w:r>
    </w:p>
    <w:p w:rsidR="00E71E91" w:rsidRPr="00572778" w:rsidRDefault="00E71E91" w:rsidP="00847EF3">
      <w:pPr>
        <w:spacing w:line="240" w:lineRule="auto"/>
        <w:rPr>
          <w:rFonts w:ascii="Times New Roman" w:hAnsi="Times New Roman" w:cs="Times New Roman"/>
          <w:i/>
          <w:sz w:val="28"/>
          <w:szCs w:val="28"/>
        </w:rPr>
      </w:pPr>
      <w:proofErr w:type="spellStart"/>
      <w:r w:rsidRPr="00572778">
        <w:rPr>
          <w:rFonts w:ascii="Times New Roman" w:hAnsi="Times New Roman" w:cs="Times New Roman"/>
          <w:sz w:val="28"/>
          <w:szCs w:val="28"/>
        </w:rPr>
        <w:t>Dmitry</w:t>
      </w:r>
      <w:proofErr w:type="spellEnd"/>
      <w:r w:rsidRPr="00572778">
        <w:rPr>
          <w:rFonts w:ascii="Times New Roman" w:hAnsi="Times New Roman" w:cs="Times New Roman"/>
          <w:sz w:val="28"/>
          <w:szCs w:val="28"/>
        </w:rPr>
        <w:t xml:space="preserve"> </w:t>
      </w:r>
      <w:proofErr w:type="spellStart"/>
      <w:r w:rsidRPr="00572778">
        <w:rPr>
          <w:rFonts w:ascii="Times New Roman" w:hAnsi="Times New Roman" w:cs="Times New Roman"/>
          <w:sz w:val="28"/>
          <w:szCs w:val="28"/>
        </w:rPr>
        <w:t>Dedov</w:t>
      </w:r>
      <w:proofErr w:type="spellEnd"/>
      <w:r w:rsidRPr="00572778">
        <w:rPr>
          <w:rFonts w:ascii="Times New Roman" w:hAnsi="Times New Roman" w:cs="Times New Roman"/>
          <w:sz w:val="28"/>
          <w:szCs w:val="28"/>
        </w:rPr>
        <w:t xml:space="preserve">, </w:t>
      </w:r>
      <w:r w:rsidRPr="00572778">
        <w:rPr>
          <w:rFonts w:ascii="Times New Roman" w:hAnsi="Times New Roman" w:cs="Times New Roman"/>
          <w:i/>
          <w:sz w:val="28"/>
          <w:szCs w:val="28"/>
        </w:rPr>
        <w:t>giudici,</w:t>
      </w:r>
    </w:p>
    <w:p w:rsidR="00E71E91" w:rsidRPr="00572778" w:rsidRDefault="00E71E91" w:rsidP="00847EF3">
      <w:pPr>
        <w:spacing w:line="240" w:lineRule="auto"/>
        <w:rPr>
          <w:rFonts w:ascii="Times New Roman" w:hAnsi="Times New Roman" w:cs="Times New Roman"/>
          <w:i/>
          <w:sz w:val="28"/>
          <w:szCs w:val="28"/>
        </w:rPr>
      </w:pPr>
      <w:r w:rsidRPr="00572778">
        <w:rPr>
          <w:rFonts w:ascii="Times New Roman" w:hAnsi="Times New Roman" w:cs="Times New Roman"/>
          <w:i/>
          <w:sz w:val="28"/>
          <w:szCs w:val="28"/>
        </w:rPr>
        <w:t xml:space="preserve"> </w:t>
      </w:r>
      <w:r w:rsidRPr="00572778">
        <w:rPr>
          <w:rFonts w:ascii="Times New Roman" w:hAnsi="Times New Roman" w:cs="Times New Roman"/>
          <w:sz w:val="28"/>
          <w:szCs w:val="28"/>
        </w:rPr>
        <w:t>e</w:t>
      </w:r>
      <w:r w:rsidR="00BC364A">
        <w:rPr>
          <w:rFonts w:ascii="Times New Roman" w:hAnsi="Times New Roman" w:cs="Times New Roman"/>
          <w:sz w:val="28"/>
          <w:szCs w:val="28"/>
        </w:rPr>
        <w:t xml:space="preserve"> </w:t>
      </w:r>
      <w:r w:rsidR="00847EF3" w:rsidRPr="00572778">
        <w:rPr>
          <w:rFonts w:ascii="Times New Roman" w:hAnsi="Times New Roman" w:cs="Times New Roman"/>
          <w:sz w:val="28"/>
          <w:szCs w:val="28"/>
        </w:rPr>
        <w:t xml:space="preserve">Søren Nielsen, </w:t>
      </w:r>
      <w:r w:rsidR="00847EF3" w:rsidRPr="00572778">
        <w:rPr>
          <w:rFonts w:ascii="Times New Roman" w:hAnsi="Times New Roman" w:cs="Times New Roman"/>
          <w:i/>
          <w:sz w:val="28"/>
          <w:szCs w:val="28"/>
        </w:rPr>
        <w:t>Cancelliere di Sezione,</w:t>
      </w:r>
    </w:p>
    <w:p w:rsidR="00847EF3" w:rsidRPr="00572778" w:rsidRDefault="00847EF3" w:rsidP="00847EF3">
      <w:pPr>
        <w:spacing w:line="240" w:lineRule="auto"/>
        <w:rPr>
          <w:rFonts w:ascii="Times New Roman" w:hAnsi="Times New Roman" w:cs="Times New Roman"/>
          <w:sz w:val="28"/>
          <w:szCs w:val="28"/>
        </w:rPr>
      </w:pPr>
      <w:r w:rsidRPr="00572778">
        <w:rPr>
          <w:rFonts w:ascii="Times New Roman" w:hAnsi="Times New Roman" w:cs="Times New Roman"/>
          <w:sz w:val="28"/>
          <w:szCs w:val="28"/>
        </w:rPr>
        <w:t>Dopo aver deliberato in camera di consiglio il 3 febbraio 2015,</w:t>
      </w:r>
    </w:p>
    <w:p w:rsidR="00847EF3" w:rsidRPr="00572778" w:rsidRDefault="00BC364A" w:rsidP="00847EF3">
      <w:pPr>
        <w:spacing w:line="240" w:lineRule="auto"/>
        <w:rPr>
          <w:rFonts w:ascii="Times New Roman" w:hAnsi="Times New Roman" w:cs="Times New Roman"/>
          <w:sz w:val="28"/>
          <w:szCs w:val="28"/>
        </w:rPr>
      </w:pPr>
      <w:r>
        <w:rPr>
          <w:rFonts w:ascii="Times New Roman" w:hAnsi="Times New Roman" w:cs="Times New Roman"/>
          <w:sz w:val="28"/>
          <w:szCs w:val="28"/>
        </w:rPr>
        <w:t>Pronuncia la seguente sentenza</w:t>
      </w:r>
      <w:r w:rsidR="00847EF3" w:rsidRPr="00572778">
        <w:rPr>
          <w:rFonts w:ascii="Times New Roman" w:hAnsi="Times New Roman" w:cs="Times New Roman"/>
          <w:sz w:val="28"/>
          <w:szCs w:val="28"/>
        </w:rPr>
        <w:t>, adottata in tale data:</w:t>
      </w:r>
    </w:p>
    <w:p w:rsidR="00847EF3" w:rsidRPr="00572778" w:rsidRDefault="00847EF3" w:rsidP="00847EF3">
      <w:pPr>
        <w:spacing w:line="240" w:lineRule="auto"/>
        <w:rPr>
          <w:rFonts w:ascii="Times New Roman" w:hAnsi="Times New Roman" w:cs="Times New Roman"/>
          <w:b/>
          <w:sz w:val="28"/>
          <w:szCs w:val="28"/>
        </w:rPr>
      </w:pPr>
      <w:r w:rsidRPr="00572778">
        <w:rPr>
          <w:rFonts w:ascii="Times New Roman" w:hAnsi="Times New Roman" w:cs="Times New Roman"/>
          <w:b/>
          <w:sz w:val="28"/>
          <w:szCs w:val="28"/>
        </w:rPr>
        <w:t>PROCEDURA</w:t>
      </w:r>
    </w:p>
    <w:p w:rsidR="00847EF3" w:rsidRPr="00572778" w:rsidRDefault="00847EF3"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All’origine della causa</w:t>
      </w:r>
      <w:r w:rsidR="004D2A93" w:rsidRPr="00572778">
        <w:rPr>
          <w:rFonts w:ascii="Times New Roman" w:hAnsi="Times New Roman" w:cs="Times New Roman"/>
          <w:sz w:val="28"/>
          <w:szCs w:val="28"/>
        </w:rPr>
        <w:t xml:space="preserve"> vi è un ricorso (n. </w:t>
      </w:r>
      <w:r w:rsidR="00830912">
        <w:rPr>
          <w:rFonts w:ascii="Times New Roman" w:hAnsi="Times New Roman" w:cs="Times New Roman"/>
          <w:sz w:val="28"/>
          <w:szCs w:val="28"/>
        </w:rPr>
        <w:t>7334/13</w:t>
      </w:r>
      <w:r w:rsidR="004D2A93" w:rsidRPr="00572778">
        <w:rPr>
          <w:rFonts w:ascii="Times New Roman" w:hAnsi="Times New Roman" w:cs="Times New Roman"/>
          <w:sz w:val="28"/>
          <w:szCs w:val="28"/>
        </w:rPr>
        <w:t xml:space="preserve">) proposto contro la Repubblica di Croazia con il quale un cittadino croato, </w:t>
      </w:r>
      <w:proofErr w:type="spellStart"/>
      <w:r w:rsidR="004D2A93" w:rsidRPr="00572778">
        <w:rPr>
          <w:rFonts w:ascii="Times New Roman" w:hAnsi="Times New Roman" w:cs="Times New Roman"/>
          <w:sz w:val="28"/>
          <w:szCs w:val="28"/>
        </w:rPr>
        <w:t>Mr</w:t>
      </w:r>
      <w:proofErr w:type="spellEnd"/>
      <w:r w:rsidR="004D2A93" w:rsidRPr="00572778">
        <w:rPr>
          <w:rFonts w:ascii="Times New Roman" w:hAnsi="Times New Roman" w:cs="Times New Roman"/>
          <w:sz w:val="28"/>
          <w:szCs w:val="28"/>
        </w:rPr>
        <w:t xml:space="preserve"> </w:t>
      </w:r>
      <w:proofErr w:type="spellStart"/>
      <w:r w:rsidR="004D2A93" w:rsidRPr="00572778">
        <w:rPr>
          <w:rFonts w:ascii="Times New Roman" w:hAnsi="Times New Roman" w:cs="Times New Roman"/>
          <w:sz w:val="28"/>
          <w:szCs w:val="28"/>
        </w:rPr>
        <w:t>Kristijan</w:t>
      </w:r>
      <w:proofErr w:type="spellEnd"/>
      <w:r w:rsidR="004D2A93" w:rsidRPr="00572778">
        <w:rPr>
          <w:rFonts w:ascii="Times New Roman" w:hAnsi="Times New Roman" w:cs="Times New Roman"/>
          <w:sz w:val="28"/>
          <w:szCs w:val="28"/>
        </w:rPr>
        <w:t xml:space="preserve"> </w:t>
      </w:r>
      <w:proofErr w:type="spellStart"/>
      <w:r w:rsidR="004D2A93" w:rsidRPr="00572778">
        <w:rPr>
          <w:rFonts w:ascii="Times New Roman" w:hAnsi="Times New Roman" w:cs="Times New Roman"/>
          <w:sz w:val="28"/>
          <w:szCs w:val="28"/>
        </w:rPr>
        <w:t>Muršić</w:t>
      </w:r>
      <w:proofErr w:type="spellEnd"/>
      <w:r w:rsidR="004D2A93" w:rsidRPr="00572778">
        <w:rPr>
          <w:rFonts w:ascii="Times New Roman" w:hAnsi="Times New Roman" w:cs="Times New Roman"/>
          <w:sz w:val="28"/>
          <w:szCs w:val="28"/>
        </w:rPr>
        <w:t xml:space="preserve"> (il ricorrente)</w:t>
      </w:r>
      <w:r w:rsidR="00830912">
        <w:rPr>
          <w:rFonts w:ascii="Times New Roman" w:hAnsi="Times New Roman" w:cs="Times New Roman"/>
          <w:sz w:val="28"/>
          <w:szCs w:val="28"/>
        </w:rPr>
        <w:t xml:space="preserve"> </w:t>
      </w:r>
      <w:r w:rsidR="004D2A93" w:rsidRPr="00572778">
        <w:rPr>
          <w:rFonts w:ascii="Times New Roman" w:hAnsi="Times New Roman" w:cs="Times New Roman"/>
          <w:sz w:val="28"/>
          <w:szCs w:val="28"/>
        </w:rPr>
        <w:t>ha adito la Corte il 17 dicembre 2012</w:t>
      </w:r>
      <w:r w:rsidR="001A4755" w:rsidRPr="00572778">
        <w:rPr>
          <w:rFonts w:ascii="Times New Roman" w:hAnsi="Times New Roman" w:cs="Times New Roman"/>
          <w:sz w:val="28"/>
          <w:szCs w:val="28"/>
        </w:rPr>
        <w:t xml:space="preserve"> in</w:t>
      </w:r>
      <w:r w:rsidR="00BC364A">
        <w:rPr>
          <w:rFonts w:ascii="Times New Roman" w:hAnsi="Times New Roman" w:cs="Times New Roman"/>
          <w:sz w:val="28"/>
          <w:szCs w:val="28"/>
        </w:rPr>
        <w:t xml:space="preserve"> </w:t>
      </w:r>
      <w:r w:rsidR="001A4755" w:rsidRPr="00572778">
        <w:rPr>
          <w:rFonts w:ascii="Times New Roman" w:hAnsi="Times New Roman" w:cs="Times New Roman"/>
          <w:sz w:val="28"/>
          <w:szCs w:val="28"/>
        </w:rPr>
        <w:t>virtù dell’articolo 34</w:t>
      </w:r>
      <w:r w:rsidR="00BC364A">
        <w:rPr>
          <w:rFonts w:ascii="Times New Roman" w:hAnsi="Times New Roman" w:cs="Times New Roman"/>
          <w:sz w:val="28"/>
          <w:szCs w:val="28"/>
        </w:rPr>
        <w:t xml:space="preserve"> </w:t>
      </w:r>
      <w:r w:rsidR="001A4755" w:rsidRPr="00572778">
        <w:rPr>
          <w:rFonts w:ascii="Times New Roman" w:hAnsi="Times New Roman" w:cs="Times New Roman"/>
          <w:sz w:val="28"/>
          <w:szCs w:val="28"/>
        </w:rPr>
        <w:t xml:space="preserve">della Convenzione per la salvaguardia dei diritti dell’uomo e delle libertà fondamentali (“la Convenzione”). </w:t>
      </w:r>
    </w:p>
    <w:p w:rsidR="001A4755" w:rsidRPr="00572778" w:rsidRDefault="001A4755"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ricorrente è stato rappresentato</w:t>
      </w:r>
      <w:r w:rsidR="00BC364A">
        <w:rPr>
          <w:rFonts w:ascii="Times New Roman" w:hAnsi="Times New Roman" w:cs="Times New Roman"/>
          <w:sz w:val="28"/>
          <w:szCs w:val="28"/>
        </w:rPr>
        <w:t xml:space="preserve"> </w:t>
      </w:r>
      <w:r w:rsidRPr="00572778">
        <w:rPr>
          <w:rFonts w:ascii="Times New Roman" w:hAnsi="Times New Roman" w:cs="Times New Roman"/>
          <w:sz w:val="28"/>
          <w:szCs w:val="28"/>
        </w:rPr>
        <w:t xml:space="preserve">da </w:t>
      </w:r>
      <w:proofErr w:type="spellStart"/>
      <w:r w:rsidRPr="00572778">
        <w:rPr>
          <w:rFonts w:ascii="Times New Roman" w:hAnsi="Times New Roman" w:cs="Times New Roman"/>
          <w:sz w:val="28"/>
          <w:szCs w:val="28"/>
        </w:rPr>
        <w:t>Mr</w:t>
      </w:r>
      <w:proofErr w:type="spellEnd"/>
      <w:r w:rsidRPr="00572778">
        <w:rPr>
          <w:rFonts w:ascii="Times New Roman" w:hAnsi="Times New Roman" w:cs="Times New Roman"/>
          <w:sz w:val="28"/>
          <w:szCs w:val="28"/>
        </w:rPr>
        <w:t xml:space="preserve"> Z. </w:t>
      </w:r>
      <w:proofErr w:type="spellStart"/>
      <w:r w:rsidRPr="00572778">
        <w:rPr>
          <w:rFonts w:ascii="Times New Roman" w:hAnsi="Times New Roman" w:cs="Times New Roman"/>
          <w:sz w:val="28"/>
          <w:szCs w:val="28"/>
        </w:rPr>
        <w:t>Vidović</w:t>
      </w:r>
      <w:proofErr w:type="spellEnd"/>
      <w:r w:rsidRPr="00572778">
        <w:rPr>
          <w:rFonts w:ascii="Times New Roman" w:hAnsi="Times New Roman" w:cs="Times New Roman"/>
          <w:sz w:val="28"/>
          <w:szCs w:val="28"/>
        </w:rPr>
        <w:t xml:space="preserve">, un avvocato che esercita la sua professione a </w:t>
      </w:r>
      <w:proofErr w:type="spellStart"/>
      <w:r w:rsidRPr="00572778">
        <w:rPr>
          <w:rFonts w:ascii="Times New Roman" w:hAnsi="Times New Roman" w:cs="Times New Roman"/>
          <w:sz w:val="28"/>
          <w:szCs w:val="28"/>
        </w:rPr>
        <w:t>Vara</w:t>
      </w:r>
      <w:r w:rsidR="002055D9" w:rsidRPr="00572778">
        <w:rPr>
          <w:rFonts w:ascii="Times New Roman" w:hAnsi="Times New Roman" w:cs="Times New Roman"/>
          <w:sz w:val="28"/>
          <w:szCs w:val="28"/>
        </w:rPr>
        <w:t>ž</w:t>
      </w:r>
      <w:r w:rsidR="00204E2B" w:rsidRPr="00572778">
        <w:rPr>
          <w:rFonts w:ascii="Times New Roman" w:hAnsi="Times New Roman" w:cs="Times New Roman"/>
          <w:sz w:val="28"/>
          <w:szCs w:val="28"/>
        </w:rPr>
        <w:t>din</w:t>
      </w:r>
      <w:proofErr w:type="spellEnd"/>
      <w:r w:rsidR="00204E2B" w:rsidRPr="00572778">
        <w:rPr>
          <w:rFonts w:ascii="Times New Roman" w:hAnsi="Times New Roman" w:cs="Times New Roman"/>
          <w:sz w:val="28"/>
          <w:szCs w:val="28"/>
        </w:rPr>
        <w:t xml:space="preserve">. Il governo croato (“il Governo”) è stato rappresentato dal suo Agente, </w:t>
      </w:r>
      <w:proofErr w:type="spellStart"/>
      <w:r w:rsidR="00204E2B" w:rsidRPr="00572778">
        <w:rPr>
          <w:rFonts w:ascii="Times New Roman" w:hAnsi="Times New Roman" w:cs="Times New Roman"/>
          <w:sz w:val="28"/>
          <w:szCs w:val="28"/>
        </w:rPr>
        <w:t>Ms</w:t>
      </w:r>
      <w:proofErr w:type="spellEnd"/>
      <w:r w:rsidR="00204E2B" w:rsidRPr="00572778">
        <w:rPr>
          <w:rFonts w:ascii="Times New Roman" w:hAnsi="Times New Roman" w:cs="Times New Roman"/>
          <w:sz w:val="28"/>
          <w:szCs w:val="28"/>
        </w:rPr>
        <w:t xml:space="preserve"> </w:t>
      </w:r>
      <w:r w:rsidR="00187677" w:rsidRPr="00572778">
        <w:rPr>
          <w:rFonts w:ascii="Times New Roman" w:hAnsi="Times New Roman" w:cs="Times New Roman"/>
          <w:sz w:val="28"/>
          <w:szCs w:val="28"/>
        </w:rPr>
        <w:t xml:space="preserve">Ś. </w:t>
      </w:r>
      <w:proofErr w:type="spellStart"/>
      <w:r w:rsidR="00187677" w:rsidRPr="00572778">
        <w:rPr>
          <w:rFonts w:ascii="Times New Roman" w:hAnsi="Times New Roman" w:cs="Times New Roman"/>
          <w:sz w:val="28"/>
          <w:szCs w:val="28"/>
        </w:rPr>
        <w:t>Sta</w:t>
      </w:r>
      <w:r w:rsidR="002055D9" w:rsidRPr="00572778">
        <w:rPr>
          <w:rFonts w:ascii="Times New Roman" w:hAnsi="Times New Roman" w:cs="Times New Roman"/>
          <w:sz w:val="28"/>
          <w:szCs w:val="28"/>
        </w:rPr>
        <w:t>žnik</w:t>
      </w:r>
      <w:proofErr w:type="spellEnd"/>
      <w:r w:rsidR="002055D9" w:rsidRPr="00572778">
        <w:rPr>
          <w:rFonts w:ascii="Times New Roman" w:hAnsi="Times New Roman" w:cs="Times New Roman"/>
          <w:sz w:val="28"/>
          <w:szCs w:val="28"/>
        </w:rPr>
        <w:t>.</w:t>
      </w:r>
    </w:p>
    <w:p w:rsidR="002055D9" w:rsidRPr="00572778" w:rsidRDefault="002055D9"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w:t>
      </w:r>
      <w:r w:rsidR="00830912">
        <w:rPr>
          <w:rFonts w:ascii="Times New Roman" w:hAnsi="Times New Roman" w:cs="Times New Roman"/>
          <w:sz w:val="28"/>
          <w:szCs w:val="28"/>
        </w:rPr>
        <w:t>l ricorrente lamenta</w:t>
      </w:r>
      <w:r w:rsidR="00301C1C" w:rsidRPr="00572778">
        <w:rPr>
          <w:rFonts w:ascii="Times New Roman" w:hAnsi="Times New Roman" w:cs="Times New Roman"/>
          <w:sz w:val="28"/>
          <w:szCs w:val="28"/>
        </w:rPr>
        <w:t xml:space="preserve"> le </w:t>
      </w:r>
      <w:r w:rsidR="000C5498" w:rsidRPr="00572778">
        <w:rPr>
          <w:rFonts w:ascii="Times New Roman" w:hAnsi="Times New Roman" w:cs="Times New Roman"/>
          <w:sz w:val="28"/>
          <w:szCs w:val="28"/>
        </w:rPr>
        <w:t xml:space="preserve">cattive condizioni </w:t>
      </w:r>
      <w:r w:rsidR="007D2FA4" w:rsidRPr="00572778">
        <w:rPr>
          <w:rFonts w:ascii="Times New Roman" w:hAnsi="Times New Roman" w:cs="Times New Roman"/>
          <w:sz w:val="28"/>
          <w:szCs w:val="28"/>
        </w:rPr>
        <w:t xml:space="preserve">di detenzione in carcere, in particolare </w:t>
      </w:r>
      <w:r w:rsidR="00FA5040">
        <w:rPr>
          <w:rFonts w:ascii="Times New Roman" w:hAnsi="Times New Roman" w:cs="Times New Roman"/>
          <w:sz w:val="28"/>
          <w:szCs w:val="28"/>
        </w:rPr>
        <w:t>la</w:t>
      </w:r>
      <w:r w:rsidR="007D2FA4" w:rsidRPr="00572778">
        <w:rPr>
          <w:rFonts w:ascii="Times New Roman" w:hAnsi="Times New Roman" w:cs="Times New Roman"/>
          <w:sz w:val="28"/>
          <w:szCs w:val="28"/>
        </w:rPr>
        <w:t xml:space="preserve"> mancanza di spazio personale e di opportunità di lavoro, e l’assenza di rimedi efficaci in tal senso, </w:t>
      </w:r>
      <w:r w:rsidR="00630177" w:rsidRPr="00572778">
        <w:rPr>
          <w:rFonts w:ascii="Times New Roman" w:hAnsi="Times New Roman" w:cs="Times New Roman"/>
          <w:sz w:val="28"/>
          <w:szCs w:val="28"/>
        </w:rPr>
        <w:t xml:space="preserve">incompatibili con </w:t>
      </w:r>
      <w:r w:rsidR="007D2FA4" w:rsidRPr="00572778">
        <w:rPr>
          <w:rFonts w:ascii="Times New Roman" w:hAnsi="Times New Roman" w:cs="Times New Roman"/>
          <w:sz w:val="28"/>
          <w:szCs w:val="28"/>
        </w:rPr>
        <w:t>gli articoli 3 e 13 della Convenzione.</w:t>
      </w:r>
    </w:p>
    <w:p w:rsidR="008F16B5" w:rsidRPr="00572778" w:rsidRDefault="008F16B5" w:rsidP="00AD79ED">
      <w:pPr>
        <w:pStyle w:val="Paragrafoelenco"/>
        <w:numPr>
          <w:ilvl w:val="0"/>
          <w:numId w:val="1"/>
        </w:numPr>
        <w:tabs>
          <w:tab w:val="left" w:pos="993"/>
        </w:tabs>
        <w:spacing w:line="240" w:lineRule="auto"/>
        <w:ind w:left="284" w:firstLine="142"/>
        <w:jc w:val="both"/>
        <w:rPr>
          <w:rFonts w:ascii="Times New Roman" w:hAnsi="Times New Roman" w:cs="Times New Roman"/>
          <w:sz w:val="28"/>
          <w:szCs w:val="28"/>
        </w:rPr>
      </w:pPr>
      <w:r w:rsidRPr="00572778">
        <w:rPr>
          <w:rFonts w:ascii="Times New Roman" w:hAnsi="Times New Roman" w:cs="Times New Roman"/>
          <w:sz w:val="28"/>
          <w:szCs w:val="28"/>
        </w:rPr>
        <w:t xml:space="preserve">L’8 ottobre 2013 il ricorso è stato </w:t>
      </w:r>
      <w:r w:rsidR="001D38E7">
        <w:rPr>
          <w:rFonts w:ascii="Times New Roman" w:hAnsi="Times New Roman" w:cs="Times New Roman"/>
          <w:sz w:val="28"/>
          <w:szCs w:val="28"/>
        </w:rPr>
        <w:t>notificato</w:t>
      </w:r>
      <w:r w:rsidRPr="00572778">
        <w:rPr>
          <w:rFonts w:ascii="Times New Roman" w:hAnsi="Times New Roman" w:cs="Times New Roman"/>
          <w:sz w:val="28"/>
          <w:szCs w:val="28"/>
        </w:rPr>
        <w:t xml:space="preserve"> al Governo.</w:t>
      </w:r>
    </w:p>
    <w:p w:rsidR="008F16B5" w:rsidRPr="00572778" w:rsidRDefault="008F16B5" w:rsidP="008F16B5">
      <w:pPr>
        <w:spacing w:line="240" w:lineRule="auto"/>
        <w:jc w:val="both"/>
        <w:rPr>
          <w:rFonts w:ascii="Times New Roman" w:hAnsi="Times New Roman" w:cs="Times New Roman"/>
          <w:sz w:val="28"/>
          <w:szCs w:val="28"/>
        </w:rPr>
      </w:pPr>
    </w:p>
    <w:p w:rsidR="008F16B5" w:rsidRPr="00572778" w:rsidRDefault="008F16B5" w:rsidP="008F16B5">
      <w:pPr>
        <w:spacing w:line="240" w:lineRule="auto"/>
        <w:jc w:val="both"/>
        <w:rPr>
          <w:rFonts w:ascii="Times New Roman" w:hAnsi="Times New Roman" w:cs="Times New Roman"/>
          <w:b/>
          <w:sz w:val="28"/>
          <w:szCs w:val="28"/>
        </w:rPr>
      </w:pPr>
      <w:r w:rsidRPr="00572778">
        <w:rPr>
          <w:rFonts w:ascii="Times New Roman" w:hAnsi="Times New Roman" w:cs="Times New Roman"/>
          <w:b/>
          <w:sz w:val="28"/>
          <w:szCs w:val="28"/>
        </w:rPr>
        <w:t>IN FATTO</w:t>
      </w:r>
    </w:p>
    <w:p w:rsidR="008F16B5" w:rsidRPr="00572778" w:rsidRDefault="008F16B5" w:rsidP="008F16B5">
      <w:pPr>
        <w:pStyle w:val="Paragrafoelenco"/>
        <w:numPr>
          <w:ilvl w:val="0"/>
          <w:numId w:val="2"/>
        </w:numPr>
        <w:spacing w:line="240" w:lineRule="auto"/>
        <w:jc w:val="both"/>
        <w:rPr>
          <w:rFonts w:ascii="Times New Roman" w:hAnsi="Times New Roman" w:cs="Times New Roman"/>
          <w:b/>
          <w:sz w:val="28"/>
          <w:szCs w:val="28"/>
        </w:rPr>
      </w:pPr>
      <w:r w:rsidRPr="00572778">
        <w:rPr>
          <w:rFonts w:ascii="Times New Roman" w:hAnsi="Times New Roman" w:cs="Times New Roman"/>
          <w:b/>
          <w:sz w:val="28"/>
          <w:szCs w:val="28"/>
        </w:rPr>
        <w:t>LE CIRCOSTANZE DEL CASO DI SPECIE</w:t>
      </w:r>
    </w:p>
    <w:p w:rsidR="008F16B5" w:rsidRPr="00572778" w:rsidRDefault="008F16B5" w:rsidP="008F16B5">
      <w:pPr>
        <w:pStyle w:val="Paragrafoelenco"/>
        <w:spacing w:line="240" w:lineRule="auto"/>
        <w:ind w:left="1080"/>
        <w:jc w:val="both"/>
        <w:rPr>
          <w:rFonts w:ascii="Times New Roman" w:hAnsi="Times New Roman" w:cs="Times New Roman"/>
          <w:b/>
          <w:sz w:val="28"/>
          <w:szCs w:val="28"/>
        </w:rPr>
      </w:pPr>
    </w:p>
    <w:p w:rsidR="008F16B5" w:rsidRDefault="008F16B5" w:rsidP="00AD79ED">
      <w:pPr>
        <w:pStyle w:val="Paragrafoelenco"/>
        <w:numPr>
          <w:ilvl w:val="0"/>
          <w:numId w:val="1"/>
        </w:numPr>
        <w:tabs>
          <w:tab w:val="left" w:pos="993"/>
        </w:tabs>
        <w:spacing w:line="240" w:lineRule="auto"/>
        <w:ind w:left="284" w:firstLine="142"/>
        <w:rPr>
          <w:rFonts w:ascii="Times New Roman" w:hAnsi="Times New Roman" w:cs="Times New Roman"/>
          <w:sz w:val="28"/>
          <w:szCs w:val="28"/>
        </w:rPr>
      </w:pPr>
      <w:r w:rsidRPr="00572778">
        <w:rPr>
          <w:rFonts w:ascii="Times New Roman" w:hAnsi="Times New Roman" w:cs="Times New Roman"/>
          <w:sz w:val="28"/>
          <w:szCs w:val="28"/>
        </w:rPr>
        <w:t xml:space="preserve">Il ricorrente è nato nel 1987 e vive a </w:t>
      </w:r>
      <w:proofErr w:type="spellStart"/>
      <w:r w:rsidRPr="00572778">
        <w:rPr>
          <w:rFonts w:ascii="Times New Roman" w:hAnsi="Times New Roman" w:cs="Times New Roman"/>
          <w:sz w:val="28"/>
          <w:szCs w:val="28"/>
        </w:rPr>
        <w:t>Kur</w:t>
      </w:r>
      <w:r w:rsidR="005A6814" w:rsidRPr="00572778">
        <w:rPr>
          <w:rFonts w:ascii="Times New Roman" w:hAnsi="Times New Roman" w:cs="Times New Roman"/>
          <w:sz w:val="28"/>
          <w:szCs w:val="28"/>
        </w:rPr>
        <w:t>šanec</w:t>
      </w:r>
      <w:proofErr w:type="spellEnd"/>
      <w:r w:rsidR="005A6814" w:rsidRPr="00572778">
        <w:rPr>
          <w:rFonts w:ascii="Times New Roman" w:hAnsi="Times New Roman" w:cs="Times New Roman"/>
          <w:sz w:val="28"/>
          <w:szCs w:val="28"/>
        </w:rPr>
        <w:t>.</w:t>
      </w:r>
    </w:p>
    <w:p w:rsidR="00542C5D" w:rsidRPr="00572778" w:rsidRDefault="00542C5D" w:rsidP="00542C5D">
      <w:pPr>
        <w:pStyle w:val="Paragrafoelenco"/>
        <w:spacing w:line="240" w:lineRule="auto"/>
        <w:ind w:left="1211"/>
        <w:rPr>
          <w:rFonts w:ascii="Times New Roman" w:hAnsi="Times New Roman" w:cs="Times New Roman"/>
          <w:sz w:val="28"/>
          <w:szCs w:val="28"/>
        </w:rPr>
      </w:pPr>
    </w:p>
    <w:p w:rsidR="005A6814" w:rsidRDefault="00E821A8" w:rsidP="00825FAB">
      <w:pPr>
        <w:pStyle w:val="Paragrafoelenco"/>
        <w:numPr>
          <w:ilvl w:val="0"/>
          <w:numId w:val="3"/>
        </w:numPr>
        <w:spacing w:line="240" w:lineRule="auto"/>
        <w:rPr>
          <w:rFonts w:ascii="Times New Roman" w:hAnsi="Times New Roman" w:cs="Times New Roman"/>
          <w:b/>
          <w:sz w:val="28"/>
          <w:szCs w:val="28"/>
        </w:rPr>
      </w:pPr>
      <w:r>
        <w:rPr>
          <w:rFonts w:ascii="Times New Roman" w:hAnsi="Times New Roman" w:cs="Times New Roman"/>
          <w:b/>
          <w:sz w:val="28"/>
          <w:szCs w:val="28"/>
        </w:rPr>
        <w:t>Origini</w:t>
      </w:r>
      <w:r w:rsidR="00825FAB" w:rsidRPr="00572778">
        <w:rPr>
          <w:rFonts w:ascii="Times New Roman" w:hAnsi="Times New Roman" w:cs="Times New Roman"/>
          <w:b/>
          <w:sz w:val="28"/>
          <w:szCs w:val="28"/>
        </w:rPr>
        <w:t xml:space="preserve"> della causa</w:t>
      </w:r>
    </w:p>
    <w:p w:rsidR="00E821A8" w:rsidRPr="00572778" w:rsidRDefault="00E821A8" w:rsidP="00E821A8">
      <w:pPr>
        <w:pStyle w:val="Paragrafoelenco"/>
        <w:spacing w:line="240" w:lineRule="auto"/>
        <w:ind w:left="502"/>
        <w:rPr>
          <w:rFonts w:ascii="Times New Roman" w:hAnsi="Times New Roman" w:cs="Times New Roman"/>
          <w:b/>
          <w:sz w:val="28"/>
          <w:szCs w:val="28"/>
        </w:rPr>
      </w:pPr>
    </w:p>
    <w:p w:rsidR="00825FAB" w:rsidRPr="00572778" w:rsidRDefault="00825FAB"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Con sentenza</w:t>
      </w:r>
      <w:r w:rsidR="00BC364A">
        <w:rPr>
          <w:rFonts w:ascii="Times New Roman" w:hAnsi="Times New Roman" w:cs="Times New Roman"/>
          <w:sz w:val="28"/>
          <w:szCs w:val="28"/>
        </w:rPr>
        <w:t xml:space="preserve"> </w:t>
      </w:r>
      <w:r w:rsidR="006E71DA">
        <w:rPr>
          <w:rFonts w:ascii="Times New Roman" w:hAnsi="Times New Roman" w:cs="Times New Roman"/>
          <w:sz w:val="28"/>
          <w:szCs w:val="28"/>
        </w:rPr>
        <w:t>della Corte</w:t>
      </w:r>
      <w:r w:rsidR="00585B2C" w:rsidRPr="00572778">
        <w:rPr>
          <w:rFonts w:ascii="Times New Roman" w:hAnsi="Times New Roman" w:cs="Times New Roman"/>
          <w:sz w:val="28"/>
          <w:szCs w:val="28"/>
        </w:rPr>
        <w:t xml:space="preserve"> </w:t>
      </w:r>
      <w:r w:rsidR="00B143BA" w:rsidRPr="00572778">
        <w:rPr>
          <w:rFonts w:ascii="Times New Roman" w:hAnsi="Times New Roman" w:cs="Times New Roman"/>
          <w:sz w:val="28"/>
          <w:szCs w:val="28"/>
        </w:rPr>
        <w:t xml:space="preserve">della Contea </w:t>
      </w:r>
      <w:r w:rsidR="00585B2C" w:rsidRPr="00572778">
        <w:rPr>
          <w:rFonts w:ascii="Times New Roman" w:hAnsi="Times New Roman" w:cs="Times New Roman"/>
          <w:sz w:val="28"/>
          <w:szCs w:val="28"/>
        </w:rPr>
        <w:t xml:space="preserve">di </w:t>
      </w:r>
      <w:proofErr w:type="spellStart"/>
      <w:r w:rsidR="0040765B" w:rsidRPr="00572778">
        <w:rPr>
          <w:rFonts w:ascii="Times New Roman" w:hAnsi="Times New Roman" w:cs="Times New Roman"/>
          <w:sz w:val="28"/>
          <w:szCs w:val="28"/>
        </w:rPr>
        <w:t>Čakovec</w:t>
      </w:r>
      <w:proofErr w:type="spellEnd"/>
      <w:r w:rsidR="0040765B" w:rsidRPr="00572778">
        <w:rPr>
          <w:rFonts w:ascii="Times New Roman" w:hAnsi="Times New Roman" w:cs="Times New Roman"/>
          <w:sz w:val="28"/>
          <w:szCs w:val="28"/>
        </w:rPr>
        <w:t xml:space="preserve"> (</w:t>
      </w:r>
      <w:proofErr w:type="spellStart"/>
      <w:r w:rsidR="0040765B" w:rsidRPr="00390348">
        <w:rPr>
          <w:rFonts w:ascii="Times New Roman" w:hAnsi="Times New Roman" w:cs="Times New Roman"/>
          <w:i/>
          <w:sz w:val="28"/>
          <w:szCs w:val="28"/>
        </w:rPr>
        <w:t>Županijski</w:t>
      </w:r>
      <w:proofErr w:type="spellEnd"/>
      <w:r w:rsidR="0040765B" w:rsidRPr="00390348">
        <w:rPr>
          <w:rFonts w:ascii="Times New Roman" w:hAnsi="Times New Roman" w:cs="Times New Roman"/>
          <w:i/>
          <w:sz w:val="28"/>
          <w:szCs w:val="28"/>
        </w:rPr>
        <w:t xml:space="preserve"> sud u </w:t>
      </w:r>
      <w:proofErr w:type="spellStart"/>
      <w:r w:rsidR="00D5554C" w:rsidRPr="00390348">
        <w:rPr>
          <w:rFonts w:ascii="Times New Roman" w:hAnsi="Times New Roman" w:cs="Times New Roman"/>
          <w:i/>
          <w:sz w:val="28"/>
          <w:szCs w:val="28"/>
        </w:rPr>
        <w:t>Čakovcu</w:t>
      </w:r>
      <w:proofErr w:type="spellEnd"/>
      <w:r w:rsidR="00D5554C" w:rsidRPr="00572778">
        <w:rPr>
          <w:rFonts w:ascii="Times New Roman" w:hAnsi="Times New Roman" w:cs="Times New Roman"/>
          <w:sz w:val="28"/>
          <w:szCs w:val="28"/>
        </w:rPr>
        <w:t>) del 19 giugno 2008,</w:t>
      </w:r>
      <w:r w:rsidR="00BC364A">
        <w:rPr>
          <w:rFonts w:ascii="Times New Roman" w:hAnsi="Times New Roman" w:cs="Times New Roman"/>
          <w:sz w:val="28"/>
          <w:szCs w:val="28"/>
        </w:rPr>
        <w:t xml:space="preserve"> </w:t>
      </w:r>
      <w:r w:rsidR="000E194B" w:rsidRPr="00572778">
        <w:rPr>
          <w:rFonts w:ascii="Times New Roman" w:hAnsi="Times New Roman" w:cs="Times New Roman"/>
          <w:sz w:val="28"/>
          <w:szCs w:val="28"/>
        </w:rPr>
        <w:t>confermata dalla Corte Suprema (</w:t>
      </w:r>
      <w:proofErr w:type="spellStart"/>
      <w:r w:rsidR="000E194B" w:rsidRPr="00390348">
        <w:rPr>
          <w:rFonts w:ascii="Times New Roman" w:hAnsi="Times New Roman" w:cs="Times New Roman"/>
          <w:i/>
          <w:sz w:val="28"/>
          <w:szCs w:val="28"/>
        </w:rPr>
        <w:t>Vrhonvi</w:t>
      </w:r>
      <w:proofErr w:type="spellEnd"/>
      <w:r w:rsidR="000E194B" w:rsidRPr="00390348">
        <w:rPr>
          <w:rFonts w:ascii="Times New Roman" w:hAnsi="Times New Roman" w:cs="Times New Roman"/>
          <w:i/>
          <w:sz w:val="28"/>
          <w:szCs w:val="28"/>
        </w:rPr>
        <w:t xml:space="preserve"> sud </w:t>
      </w:r>
      <w:proofErr w:type="spellStart"/>
      <w:r w:rsidR="000E194B" w:rsidRPr="00390348">
        <w:rPr>
          <w:rFonts w:ascii="Times New Roman" w:hAnsi="Times New Roman" w:cs="Times New Roman"/>
          <w:i/>
          <w:sz w:val="28"/>
          <w:szCs w:val="28"/>
        </w:rPr>
        <w:t>Republike</w:t>
      </w:r>
      <w:proofErr w:type="spellEnd"/>
      <w:r w:rsidR="000E194B" w:rsidRPr="00390348">
        <w:rPr>
          <w:rFonts w:ascii="Times New Roman" w:hAnsi="Times New Roman" w:cs="Times New Roman"/>
          <w:i/>
          <w:sz w:val="28"/>
          <w:szCs w:val="28"/>
        </w:rPr>
        <w:t xml:space="preserve"> </w:t>
      </w:r>
      <w:proofErr w:type="spellStart"/>
      <w:r w:rsidR="000E194B" w:rsidRPr="00390348">
        <w:rPr>
          <w:rFonts w:ascii="Times New Roman" w:hAnsi="Times New Roman" w:cs="Times New Roman"/>
          <w:i/>
          <w:sz w:val="28"/>
          <w:szCs w:val="28"/>
        </w:rPr>
        <w:t>Hrvatske</w:t>
      </w:r>
      <w:proofErr w:type="spellEnd"/>
      <w:r w:rsidR="000E194B" w:rsidRPr="00572778">
        <w:rPr>
          <w:rFonts w:ascii="Times New Roman" w:hAnsi="Times New Roman" w:cs="Times New Roman"/>
          <w:sz w:val="28"/>
          <w:szCs w:val="28"/>
        </w:rPr>
        <w:t>) il 3 febbraio 2009, il ricorrente è stato condannato a due anni di reclusione per rapina.</w:t>
      </w:r>
    </w:p>
    <w:p w:rsidR="00B143BA" w:rsidRPr="00572778" w:rsidRDefault="00B143BA"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2 luglio 2010 la Corte municipale di </w:t>
      </w:r>
      <w:proofErr w:type="spellStart"/>
      <w:r w:rsidRPr="00572778">
        <w:rPr>
          <w:rFonts w:ascii="Times New Roman" w:hAnsi="Times New Roman" w:cs="Times New Roman"/>
          <w:sz w:val="28"/>
          <w:szCs w:val="28"/>
        </w:rPr>
        <w:t>Čakovec</w:t>
      </w:r>
      <w:proofErr w:type="spellEnd"/>
      <w:r w:rsidRPr="00572778">
        <w:rPr>
          <w:rFonts w:ascii="Times New Roman" w:hAnsi="Times New Roman" w:cs="Times New Roman"/>
          <w:sz w:val="28"/>
          <w:szCs w:val="28"/>
        </w:rPr>
        <w:t xml:space="preserve"> (</w:t>
      </w:r>
      <w:proofErr w:type="spellStart"/>
      <w:r w:rsidRPr="007D3D5F">
        <w:rPr>
          <w:rFonts w:ascii="Times New Roman" w:hAnsi="Times New Roman" w:cs="Times New Roman"/>
          <w:i/>
          <w:sz w:val="28"/>
          <w:szCs w:val="28"/>
        </w:rPr>
        <w:t>Općinski</w:t>
      </w:r>
      <w:proofErr w:type="spellEnd"/>
      <w:r w:rsidRPr="007D3D5F">
        <w:rPr>
          <w:rFonts w:ascii="Times New Roman" w:hAnsi="Times New Roman" w:cs="Times New Roman"/>
          <w:i/>
          <w:sz w:val="28"/>
          <w:szCs w:val="28"/>
        </w:rPr>
        <w:t xml:space="preserve"> sud u </w:t>
      </w:r>
      <w:proofErr w:type="spellStart"/>
      <w:r w:rsidRPr="007D3D5F">
        <w:rPr>
          <w:rFonts w:ascii="Times New Roman" w:hAnsi="Times New Roman" w:cs="Times New Roman"/>
          <w:i/>
          <w:sz w:val="28"/>
          <w:szCs w:val="28"/>
        </w:rPr>
        <w:t>Čakovcu</w:t>
      </w:r>
      <w:proofErr w:type="spellEnd"/>
      <w:r w:rsidRPr="00572778">
        <w:rPr>
          <w:rFonts w:ascii="Times New Roman" w:hAnsi="Times New Roman" w:cs="Times New Roman"/>
          <w:sz w:val="28"/>
          <w:szCs w:val="28"/>
        </w:rPr>
        <w:t>) lo ha condannato ad un anno di reclusione per furto, che è stato confermato dal</w:t>
      </w:r>
      <w:r w:rsidR="007D3D5F">
        <w:rPr>
          <w:rFonts w:ascii="Times New Roman" w:hAnsi="Times New Roman" w:cs="Times New Roman"/>
          <w:sz w:val="28"/>
          <w:szCs w:val="28"/>
        </w:rPr>
        <w:t>la Corte</w:t>
      </w:r>
      <w:r w:rsidRPr="00572778">
        <w:rPr>
          <w:rFonts w:ascii="Times New Roman" w:hAnsi="Times New Roman" w:cs="Times New Roman"/>
          <w:sz w:val="28"/>
          <w:szCs w:val="28"/>
        </w:rPr>
        <w:t xml:space="preserve"> della Contea</w:t>
      </w:r>
      <w:r w:rsidR="00937305" w:rsidRPr="00572778">
        <w:rPr>
          <w:rFonts w:ascii="Times New Roman" w:hAnsi="Times New Roman" w:cs="Times New Roman"/>
          <w:sz w:val="28"/>
          <w:szCs w:val="28"/>
        </w:rPr>
        <w:t xml:space="preserve"> di</w:t>
      </w:r>
      <w:r w:rsidR="00BC364A">
        <w:rPr>
          <w:rFonts w:ascii="Times New Roman" w:hAnsi="Times New Roman" w:cs="Times New Roman"/>
          <w:sz w:val="28"/>
          <w:szCs w:val="28"/>
        </w:rPr>
        <w:t xml:space="preserve"> </w:t>
      </w:r>
      <w:proofErr w:type="spellStart"/>
      <w:r w:rsidR="00937305" w:rsidRPr="00572778">
        <w:rPr>
          <w:rFonts w:ascii="Times New Roman" w:hAnsi="Times New Roman" w:cs="Times New Roman"/>
          <w:sz w:val="28"/>
          <w:szCs w:val="28"/>
        </w:rPr>
        <w:t>Čakovec</w:t>
      </w:r>
      <w:proofErr w:type="spellEnd"/>
      <w:r w:rsidR="00937305" w:rsidRPr="00572778">
        <w:rPr>
          <w:rFonts w:ascii="Times New Roman" w:hAnsi="Times New Roman" w:cs="Times New Roman"/>
          <w:sz w:val="28"/>
          <w:szCs w:val="28"/>
        </w:rPr>
        <w:t xml:space="preserve"> il 3 novembre 2010.</w:t>
      </w:r>
    </w:p>
    <w:p w:rsidR="00614FF2" w:rsidRPr="00EC6694" w:rsidRDefault="00937305"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A seguito di una richiesta del ricorrente, il 26 agosto 2011 un collegio di 3 giudici della </w:t>
      </w:r>
      <w:r w:rsidR="00BA0C1A">
        <w:rPr>
          <w:rFonts w:ascii="Times New Roman" w:hAnsi="Times New Roman" w:cs="Times New Roman"/>
          <w:sz w:val="28"/>
          <w:szCs w:val="28"/>
        </w:rPr>
        <w:t>Corte</w:t>
      </w:r>
      <w:r w:rsidRPr="00572778">
        <w:rPr>
          <w:rFonts w:ascii="Times New Roman" w:hAnsi="Times New Roman" w:cs="Times New Roman"/>
          <w:sz w:val="28"/>
          <w:szCs w:val="28"/>
        </w:rPr>
        <w:t xml:space="preserve"> della Contea di </w:t>
      </w:r>
      <w:proofErr w:type="spellStart"/>
      <w:r w:rsidRPr="00572778">
        <w:rPr>
          <w:rFonts w:ascii="Times New Roman" w:hAnsi="Times New Roman" w:cs="Times New Roman"/>
          <w:sz w:val="28"/>
          <w:szCs w:val="28"/>
        </w:rPr>
        <w:t>Čakovec</w:t>
      </w:r>
      <w:proofErr w:type="spellEnd"/>
      <w:r w:rsidR="00C968DA" w:rsidRPr="00572778">
        <w:rPr>
          <w:rFonts w:ascii="Times New Roman" w:hAnsi="Times New Roman" w:cs="Times New Roman"/>
          <w:sz w:val="28"/>
          <w:szCs w:val="28"/>
        </w:rPr>
        <w:t xml:space="preserve"> ha preso in considerazione le suddette due condanne e lo ha condannato ad un’unica pena di due anni ed 11 mesi di reclusione.</w:t>
      </w:r>
    </w:p>
    <w:p w:rsidR="00614FF2" w:rsidRPr="00572778" w:rsidRDefault="00614FF2" w:rsidP="00C968DA">
      <w:pPr>
        <w:spacing w:line="240" w:lineRule="auto"/>
        <w:ind w:left="360"/>
        <w:rPr>
          <w:rFonts w:ascii="Times New Roman" w:hAnsi="Times New Roman" w:cs="Times New Roman"/>
          <w:sz w:val="28"/>
          <w:szCs w:val="28"/>
        </w:rPr>
      </w:pPr>
    </w:p>
    <w:p w:rsidR="00C968DA" w:rsidRPr="00572778" w:rsidRDefault="008D1A6A" w:rsidP="00C968DA">
      <w:pPr>
        <w:pStyle w:val="Paragrafoelenco"/>
        <w:numPr>
          <w:ilvl w:val="0"/>
          <w:numId w:val="3"/>
        </w:numPr>
        <w:spacing w:line="240" w:lineRule="auto"/>
        <w:rPr>
          <w:rFonts w:ascii="Times New Roman" w:hAnsi="Times New Roman" w:cs="Times New Roman"/>
          <w:b/>
          <w:sz w:val="28"/>
          <w:szCs w:val="28"/>
        </w:rPr>
      </w:pPr>
      <w:r w:rsidRPr="00572778">
        <w:rPr>
          <w:rFonts w:ascii="Times New Roman" w:hAnsi="Times New Roman" w:cs="Times New Roman"/>
          <w:b/>
          <w:sz w:val="28"/>
          <w:szCs w:val="28"/>
        </w:rPr>
        <w:t xml:space="preserve">Condizioni di detenzione del ricorrente nel carcere di </w:t>
      </w:r>
      <w:proofErr w:type="spellStart"/>
      <w:r w:rsidRPr="00572778">
        <w:rPr>
          <w:rFonts w:ascii="Times New Roman" w:hAnsi="Times New Roman" w:cs="Times New Roman"/>
          <w:b/>
          <w:sz w:val="28"/>
          <w:szCs w:val="28"/>
        </w:rPr>
        <w:t>Bjelovar</w:t>
      </w:r>
      <w:proofErr w:type="spellEnd"/>
    </w:p>
    <w:p w:rsidR="008D1A6A" w:rsidRPr="00572778" w:rsidRDefault="008D1A6A" w:rsidP="008D1A6A">
      <w:pPr>
        <w:pStyle w:val="Paragrafoelenco"/>
        <w:spacing w:line="240" w:lineRule="auto"/>
        <w:rPr>
          <w:rFonts w:ascii="Times New Roman" w:hAnsi="Times New Roman" w:cs="Times New Roman"/>
          <w:b/>
          <w:sz w:val="28"/>
          <w:szCs w:val="28"/>
        </w:rPr>
      </w:pPr>
    </w:p>
    <w:p w:rsidR="008D1A6A" w:rsidRPr="00572778" w:rsidRDefault="008D1A6A"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16 ottobre 2009 il ricorrente è stato trasferito dal carcere di stato di </w:t>
      </w:r>
      <w:proofErr w:type="spellStart"/>
      <w:r w:rsidRPr="00572778">
        <w:rPr>
          <w:rFonts w:ascii="Times New Roman" w:hAnsi="Times New Roman" w:cs="Times New Roman"/>
          <w:sz w:val="28"/>
          <w:szCs w:val="28"/>
        </w:rPr>
        <w:t>Turopolje</w:t>
      </w:r>
      <w:proofErr w:type="spellEnd"/>
      <w:r w:rsidRPr="00572778">
        <w:rPr>
          <w:rFonts w:ascii="Times New Roman" w:hAnsi="Times New Roman" w:cs="Times New Roman"/>
          <w:sz w:val="28"/>
          <w:szCs w:val="28"/>
        </w:rPr>
        <w:t xml:space="preserve"> (</w:t>
      </w:r>
      <w:proofErr w:type="spellStart"/>
      <w:r w:rsidRPr="009B3573">
        <w:rPr>
          <w:rFonts w:ascii="Times New Roman" w:hAnsi="Times New Roman" w:cs="Times New Roman"/>
          <w:i/>
          <w:sz w:val="28"/>
          <w:szCs w:val="28"/>
        </w:rPr>
        <w:t>Kaznionica</w:t>
      </w:r>
      <w:proofErr w:type="spellEnd"/>
      <w:r w:rsidRPr="009B3573">
        <w:rPr>
          <w:rFonts w:ascii="Times New Roman" w:hAnsi="Times New Roman" w:cs="Times New Roman"/>
          <w:i/>
          <w:sz w:val="28"/>
          <w:szCs w:val="28"/>
        </w:rPr>
        <w:t xml:space="preserve"> u </w:t>
      </w:r>
      <w:proofErr w:type="spellStart"/>
      <w:r w:rsidRPr="009B3573">
        <w:rPr>
          <w:rFonts w:ascii="Times New Roman" w:hAnsi="Times New Roman" w:cs="Times New Roman"/>
          <w:i/>
          <w:sz w:val="28"/>
          <w:szCs w:val="28"/>
        </w:rPr>
        <w:t>Turopolju</w:t>
      </w:r>
      <w:proofErr w:type="spellEnd"/>
      <w:r w:rsidRPr="00572778">
        <w:rPr>
          <w:rFonts w:ascii="Times New Roman" w:hAnsi="Times New Roman" w:cs="Times New Roman"/>
          <w:sz w:val="28"/>
          <w:szCs w:val="28"/>
        </w:rPr>
        <w:t xml:space="preserve">) al carcere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per scontare una pena originariamente inflitta dal</w:t>
      </w:r>
      <w:r w:rsidR="00D8371F">
        <w:rPr>
          <w:rFonts w:ascii="Times New Roman" w:hAnsi="Times New Roman" w:cs="Times New Roman"/>
          <w:sz w:val="28"/>
          <w:szCs w:val="28"/>
        </w:rPr>
        <w:t>la Corte</w:t>
      </w:r>
      <w:r w:rsidRPr="00572778">
        <w:rPr>
          <w:rFonts w:ascii="Times New Roman" w:hAnsi="Times New Roman" w:cs="Times New Roman"/>
          <w:sz w:val="28"/>
          <w:szCs w:val="28"/>
        </w:rPr>
        <w:t xml:space="preserve"> della Contea di </w:t>
      </w:r>
      <w:proofErr w:type="spellStart"/>
      <w:r w:rsidR="00F94345" w:rsidRPr="00572778">
        <w:rPr>
          <w:rFonts w:ascii="Times New Roman" w:hAnsi="Times New Roman" w:cs="Times New Roman"/>
          <w:sz w:val="28"/>
          <w:szCs w:val="28"/>
        </w:rPr>
        <w:t>Čakovec</w:t>
      </w:r>
      <w:proofErr w:type="spellEnd"/>
      <w:r w:rsidR="00F94345" w:rsidRPr="00572778">
        <w:rPr>
          <w:rFonts w:ascii="Times New Roman" w:hAnsi="Times New Roman" w:cs="Times New Roman"/>
          <w:sz w:val="28"/>
          <w:szCs w:val="28"/>
        </w:rPr>
        <w:t xml:space="preserve"> il 19 giugno 2008 ( vedi comma 6 precedente).</w:t>
      </w:r>
    </w:p>
    <w:p w:rsidR="00F44355" w:rsidRPr="00572778" w:rsidRDefault="00F94345"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Egli è rimasto nel carcere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fino al 16 marzo 2011, quando fu trasferito nel carcere di </w:t>
      </w:r>
      <w:proofErr w:type="spellStart"/>
      <w:r w:rsidR="00C83AE9" w:rsidRPr="00572778">
        <w:rPr>
          <w:rFonts w:ascii="Times New Roman" w:hAnsi="Times New Roman" w:cs="Times New Roman"/>
          <w:sz w:val="28"/>
          <w:szCs w:val="28"/>
        </w:rPr>
        <w:t>Varaždin</w:t>
      </w:r>
      <w:proofErr w:type="spellEnd"/>
      <w:r w:rsidR="00C83AE9" w:rsidRPr="00572778">
        <w:rPr>
          <w:rFonts w:ascii="Times New Roman" w:hAnsi="Times New Roman" w:cs="Times New Roman"/>
          <w:sz w:val="28"/>
          <w:szCs w:val="28"/>
        </w:rPr>
        <w:t xml:space="preserve"> (</w:t>
      </w:r>
      <w:proofErr w:type="spellStart"/>
      <w:r w:rsidR="00C83AE9" w:rsidRPr="007D1D02">
        <w:rPr>
          <w:rFonts w:ascii="Times New Roman" w:hAnsi="Times New Roman" w:cs="Times New Roman"/>
          <w:i/>
          <w:sz w:val="28"/>
          <w:szCs w:val="28"/>
        </w:rPr>
        <w:t>Zatvor</w:t>
      </w:r>
      <w:proofErr w:type="spellEnd"/>
      <w:r w:rsidR="00C83AE9" w:rsidRPr="007D1D02">
        <w:rPr>
          <w:rFonts w:ascii="Times New Roman" w:hAnsi="Times New Roman" w:cs="Times New Roman"/>
          <w:i/>
          <w:sz w:val="28"/>
          <w:szCs w:val="28"/>
        </w:rPr>
        <w:t xml:space="preserve"> u </w:t>
      </w:r>
      <w:proofErr w:type="spellStart"/>
      <w:r w:rsidR="00C83AE9" w:rsidRPr="007D1D02">
        <w:rPr>
          <w:rFonts w:ascii="Times New Roman" w:hAnsi="Times New Roman" w:cs="Times New Roman"/>
          <w:i/>
          <w:sz w:val="28"/>
          <w:szCs w:val="28"/>
        </w:rPr>
        <w:t>Varaždinu</w:t>
      </w:r>
      <w:proofErr w:type="spellEnd"/>
      <w:r w:rsidR="00C83AE9" w:rsidRPr="00572778">
        <w:rPr>
          <w:rFonts w:ascii="Times New Roman" w:hAnsi="Times New Roman" w:cs="Times New Roman"/>
          <w:sz w:val="28"/>
          <w:szCs w:val="28"/>
        </w:rPr>
        <w:t>) a seguito di una decisione dell’Amministrazione penitenziaria (Ministero Giustizia) (</w:t>
      </w:r>
      <w:proofErr w:type="spellStart"/>
      <w:r w:rsidR="00C83AE9" w:rsidRPr="00572778">
        <w:rPr>
          <w:rFonts w:ascii="Times New Roman" w:hAnsi="Times New Roman" w:cs="Times New Roman"/>
          <w:i/>
          <w:sz w:val="28"/>
          <w:szCs w:val="28"/>
        </w:rPr>
        <w:t>Ministarstvo</w:t>
      </w:r>
      <w:proofErr w:type="spellEnd"/>
      <w:r w:rsidR="00C83AE9" w:rsidRPr="00572778">
        <w:rPr>
          <w:rFonts w:ascii="Times New Roman" w:hAnsi="Times New Roman" w:cs="Times New Roman"/>
          <w:sz w:val="28"/>
          <w:szCs w:val="28"/>
        </w:rPr>
        <w:t xml:space="preserve"> </w:t>
      </w:r>
      <w:proofErr w:type="spellStart"/>
      <w:r w:rsidR="00C83AE9" w:rsidRPr="00572778">
        <w:rPr>
          <w:rFonts w:ascii="Times New Roman" w:hAnsi="Times New Roman" w:cs="Times New Roman"/>
          <w:i/>
          <w:sz w:val="28"/>
          <w:szCs w:val="28"/>
        </w:rPr>
        <w:t>pravosu</w:t>
      </w:r>
      <w:r w:rsidR="00F44355" w:rsidRPr="00572778">
        <w:rPr>
          <w:rFonts w:ascii="Times New Roman" w:hAnsi="Times New Roman" w:cs="Times New Roman"/>
          <w:sz w:val="28"/>
          <w:szCs w:val="28"/>
        </w:rPr>
        <w:t>đa</w:t>
      </w:r>
      <w:proofErr w:type="spellEnd"/>
      <w:r w:rsidR="00F44355" w:rsidRPr="00572778">
        <w:rPr>
          <w:rFonts w:ascii="Times New Roman" w:hAnsi="Times New Roman" w:cs="Times New Roman"/>
          <w:sz w:val="28"/>
          <w:szCs w:val="28"/>
        </w:rPr>
        <w:t xml:space="preserve">, </w:t>
      </w:r>
      <w:proofErr w:type="spellStart"/>
      <w:r w:rsidR="00F44355" w:rsidRPr="00572778">
        <w:rPr>
          <w:rFonts w:ascii="Times New Roman" w:hAnsi="Times New Roman" w:cs="Times New Roman"/>
          <w:i/>
          <w:sz w:val="28"/>
          <w:szCs w:val="28"/>
        </w:rPr>
        <w:t>Uprava</w:t>
      </w:r>
      <w:proofErr w:type="spellEnd"/>
      <w:r w:rsidR="00F44355" w:rsidRPr="00572778">
        <w:rPr>
          <w:rFonts w:ascii="Times New Roman" w:hAnsi="Times New Roman" w:cs="Times New Roman"/>
          <w:i/>
          <w:sz w:val="28"/>
          <w:szCs w:val="28"/>
        </w:rPr>
        <w:t xml:space="preserve"> za </w:t>
      </w:r>
      <w:proofErr w:type="spellStart"/>
      <w:r w:rsidR="00F44355" w:rsidRPr="00572778">
        <w:rPr>
          <w:rFonts w:ascii="Times New Roman" w:hAnsi="Times New Roman" w:cs="Times New Roman"/>
          <w:i/>
          <w:sz w:val="28"/>
          <w:szCs w:val="28"/>
        </w:rPr>
        <w:t>zatvorski</w:t>
      </w:r>
      <w:proofErr w:type="spellEnd"/>
      <w:r w:rsidR="00FD5553" w:rsidRPr="00572778">
        <w:rPr>
          <w:rFonts w:ascii="Times New Roman" w:hAnsi="Times New Roman" w:cs="Times New Roman"/>
          <w:i/>
          <w:sz w:val="28"/>
          <w:szCs w:val="28"/>
        </w:rPr>
        <w:t xml:space="preserve"> </w:t>
      </w:r>
      <w:proofErr w:type="spellStart"/>
      <w:r w:rsidR="00FD5553" w:rsidRPr="00572778">
        <w:rPr>
          <w:rFonts w:ascii="Times New Roman" w:hAnsi="Times New Roman" w:cs="Times New Roman"/>
          <w:i/>
          <w:sz w:val="28"/>
          <w:szCs w:val="28"/>
        </w:rPr>
        <w:t>sustav</w:t>
      </w:r>
      <w:proofErr w:type="spellEnd"/>
      <w:r w:rsidR="00FD5553" w:rsidRPr="00572778">
        <w:rPr>
          <w:rFonts w:ascii="Times New Roman" w:hAnsi="Times New Roman" w:cs="Times New Roman"/>
          <w:i/>
          <w:sz w:val="28"/>
          <w:szCs w:val="28"/>
        </w:rPr>
        <w:t xml:space="preserve">) </w:t>
      </w:r>
      <w:r w:rsidR="00FD5553" w:rsidRPr="00572778">
        <w:rPr>
          <w:rFonts w:ascii="Times New Roman" w:hAnsi="Times New Roman" w:cs="Times New Roman"/>
          <w:sz w:val="28"/>
          <w:szCs w:val="28"/>
        </w:rPr>
        <w:t>l’11 marzo 2011.</w:t>
      </w:r>
    </w:p>
    <w:p w:rsidR="00FD5553" w:rsidRPr="00572778" w:rsidRDefault="00FD5553" w:rsidP="00010089">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Secondo il ricorrente, egli ha trascorso 11 mesi con altri 7 detenuti in una </w:t>
      </w:r>
      <w:r w:rsidR="00005FFE">
        <w:rPr>
          <w:rFonts w:ascii="Times New Roman" w:hAnsi="Times New Roman" w:cs="Times New Roman"/>
          <w:sz w:val="28"/>
          <w:szCs w:val="28"/>
        </w:rPr>
        <w:t>cella di 18 metri quadri inclusi</w:t>
      </w:r>
      <w:r w:rsidRPr="00572778">
        <w:rPr>
          <w:rFonts w:ascii="Times New Roman" w:hAnsi="Times New Roman" w:cs="Times New Roman"/>
          <w:sz w:val="28"/>
          <w:szCs w:val="28"/>
        </w:rPr>
        <w:t xml:space="preserve"> i servizi sanitari. La cella era in cattive condizioni, sporca e non adeguatamente attrezzata con sufficienti </w:t>
      </w:r>
      <w:r w:rsidR="00A06438" w:rsidRPr="00572778">
        <w:rPr>
          <w:rFonts w:ascii="Times New Roman" w:hAnsi="Times New Roman" w:cs="Times New Roman"/>
          <w:sz w:val="28"/>
          <w:szCs w:val="28"/>
        </w:rPr>
        <w:t xml:space="preserve">armadietti e sedie per tutti i detenuti. Inoltre, non gli era stata data alcuna opportunità di </w:t>
      </w:r>
      <w:r w:rsidR="00887994">
        <w:rPr>
          <w:rFonts w:ascii="Times New Roman" w:hAnsi="Times New Roman" w:cs="Times New Roman"/>
          <w:sz w:val="28"/>
          <w:szCs w:val="28"/>
        </w:rPr>
        <w:t>essere impiegato in attività lavorative in carcere</w:t>
      </w:r>
      <w:r w:rsidR="00A06438" w:rsidRPr="00572778">
        <w:rPr>
          <w:rFonts w:ascii="Times New Roman" w:hAnsi="Times New Roman" w:cs="Times New Roman"/>
          <w:sz w:val="28"/>
          <w:szCs w:val="28"/>
        </w:rPr>
        <w:t xml:space="preserve">, ed in generale </w:t>
      </w:r>
      <w:r w:rsidR="005431FD">
        <w:rPr>
          <w:rFonts w:ascii="Times New Roman" w:hAnsi="Times New Roman" w:cs="Times New Roman"/>
          <w:sz w:val="28"/>
          <w:szCs w:val="28"/>
        </w:rPr>
        <w:t>non aveva avuto</w:t>
      </w:r>
      <w:r w:rsidR="00A06438" w:rsidRPr="00572778">
        <w:rPr>
          <w:rFonts w:ascii="Times New Roman" w:hAnsi="Times New Roman" w:cs="Times New Roman"/>
          <w:sz w:val="28"/>
          <w:szCs w:val="28"/>
        </w:rPr>
        <w:t xml:space="preserve"> sufficiente accesso alle attività educative e ricreative.</w:t>
      </w:r>
    </w:p>
    <w:p w:rsidR="00A06438" w:rsidRPr="008765AD" w:rsidRDefault="00A06438" w:rsidP="002C4162">
      <w:pPr>
        <w:pStyle w:val="Paragrafoelenco"/>
        <w:numPr>
          <w:ilvl w:val="0"/>
          <w:numId w:val="1"/>
        </w:numPr>
        <w:tabs>
          <w:tab w:val="left" w:pos="993"/>
        </w:tabs>
        <w:spacing w:line="240" w:lineRule="auto"/>
        <w:ind w:left="284" w:firstLine="142"/>
        <w:jc w:val="both"/>
        <w:rPr>
          <w:rFonts w:ascii="Times New Roman" w:hAnsi="Times New Roman" w:cs="Times New Roman"/>
          <w:sz w:val="28"/>
          <w:szCs w:val="28"/>
        </w:rPr>
      </w:pPr>
      <w:r w:rsidRPr="00572778">
        <w:rPr>
          <w:rFonts w:ascii="Times New Roman" w:hAnsi="Times New Roman" w:cs="Times New Roman"/>
          <w:sz w:val="28"/>
          <w:szCs w:val="28"/>
        </w:rPr>
        <w:t xml:space="preserve">Secondo il Governo, nel carcere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il richiedente aveva a sua </w:t>
      </w:r>
      <w:r w:rsidRPr="008765AD">
        <w:rPr>
          <w:rFonts w:ascii="Times New Roman" w:hAnsi="Times New Roman" w:cs="Times New Roman"/>
          <w:sz w:val="28"/>
          <w:szCs w:val="28"/>
        </w:rPr>
        <w:t>disposizione una media di</w:t>
      </w:r>
      <w:r w:rsidR="001647D1" w:rsidRPr="008765AD">
        <w:rPr>
          <w:rFonts w:ascii="Times New Roman" w:hAnsi="Times New Roman" w:cs="Times New Roman"/>
          <w:sz w:val="28"/>
          <w:szCs w:val="28"/>
        </w:rPr>
        <w:t xml:space="preserve"> 3.59 metri quadri di spazio personale. Egli era </w:t>
      </w:r>
      <w:r w:rsidR="00A057F1">
        <w:rPr>
          <w:rFonts w:ascii="Times New Roman" w:hAnsi="Times New Roman" w:cs="Times New Roman"/>
          <w:sz w:val="28"/>
          <w:szCs w:val="28"/>
        </w:rPr>
        <w:t xml:space="preserve">stato </w:t>
      </w:r>
      <w:r w:rsidR="001647D1" w:rsidRPr="008765AD">
        <w:rPr>
          <w:rFonts w:ascii="Times New Roman" w:hAnsi="Times New Roman" w:cs="Times New Roman"/>
          <w:sz w:val="28"/>
          <w:szCs w:val="28"/>
        </w:rPr>
        <w:t>detenuto in 4 celle diverse, le cui condizioni sono dettagliate nella tabella che segue:</w:t>
      </w:r>
    </w:p>
    <w:p w:rsidR="00744A3B" w:rsidRPr="00572778" w:rsidRDefault="00744A3B" w:rsidP="00744A3B">
      <w:pPr>
        <w:pStyle w:val="Paragrafoelenco"/>
        <w:spacing w:line="240" w:lineRule="auto"/>
        <w:ind w:left="1211"/>
        <w:jc w:val="both"/>
        <w:rPr>
          <w:rFonts w:ascii="Times New Roman" w:hAnsi="Times New Roman" w:cs="Times New Roman"/>
          <w:sz w:val="28"/>
          <w:szCs w:val="28"/>
        </w:rPr>
      </w:pPr>
    </w:p>
    <w:p w:rsidR="00D36E4B" w:rsidRPr="00572778" w:rsidRDefault="00D36E4B" w:rsidP="00D36E4B">
      <w:pPr>
        <w:spacing w:after="0" w:line="120" w:lineRule="auto"/>
        <w:rPr>
          <w:rFonts w:ascii="Times New Roman" w:hAnsi="Times New Roman" w:cs="Times New Roman"/>
          <w:sz w:val="28"/>
          <w:szCs w:val="28"/>
        </w:rPr>
      </w:pPr>
    </w:p>
    <w:tbl>
      <w:tblPr>
        <w:tblW w:w="9280" w:type="dxa"/>
        <w:tblInd w:w="47" w:type="dxa"/>
        <w:tblCellMar>
          <w:left w:w="70" w:type="dxa"/>
          <w:right w:w="70" w:type="dxa"/>
        </w:tblCellMar>
        <w:tblLook w:val="04A0" w:firstRow="1" w:lastRow="0" w:firstColumn="1" w:lastColumn="0" w:noHBand="0" w:noVBand="1"/>
      </w:tblPr>
      <w:tblGrid>
        <w:gridCol w:w="1119"/>
        <w:gridCol w:w="2104"/>
        <w:gridCol w:w="2299"/>
        <w:gridCol w:w="2798"/>
        <w:gridCol w:w="1127"/>
      </w:tblGrid>
      <w:tr w:rsidR="00D36E4B" w:rsidRPr="002C4162" w:rsidTr="00D36E4B">
        <w:trPr>
          <w:trHeight w:val="1215"/>
        </w:trPr>
        <w:tc>
          <w:tcPr>
            <w:tcW w:w="1119" w:type="dxa"/>
            <w:tcBorders>
              <w:top w:val="double" w:sz="6" w:space="0" w:color="auto"/>
              <w:left w:val="double" w:sz="6" w:space="0" w:color="auto"/>
              <w:bottom w:val="single" w:sz="4" w:space="0" w:color="auto"/>
              <w:right w:val="single" w:sz="4" w:space="0" w:color="auto"/>
            </w:tcBorders>
            <w:shd w:val="clear" w:color="auto" w:fill="D8D8D8"/>
            <w:vAlign w:val="center"/>
            <w:hideMark/>
          </w:tcPr>
          <w:p w:rsidR="00D36E4B" w:rsidRPr="002C4162" w:rsidRDefault="00D36E4B" w:rsidP="00D36E4B">
            <w:pPr>
              <w:spacing w:after="0" w:line="240" w:lineRule="auto"/>
              <w:jc w:val="center"/>
              <w:rPr>
                <w:rFonts w:ascii="Times New Roman" w:eastAsia="Times New Roman" w:hAnsi="Times New Roman" w:cs="Times New Roman"/>
                <w:b/>
                <w:bCs/>
                <w:sz w:val="24"/>
                <w:szCs w:val="28"/>
                <w:lang w:eastAsia="it-IT"/>
              </w:rPr>
            </w:pPr>
            <w:r w:rsidRPr="002C4162">
              <w:rPr>
                <w:rFonts w:ascii="Times New Roman" w:eastAsia="Times New Roman" w:hAnsi="Times New Roman" w:cs="Times New Roman"/>
                <w:b/>
                <w:bCs/>
                <w:sz w:val="24"/>
                <w:szCs w:val="28"/>
                <w:lang w:eastAsia="it-IT"/>
              </w:rPr>
              <w:t>Cella No.</w:t>
            </w:r>
          </w:p>
        </w:tc>
        <w:tc>
          <w:tcPr>
            <w:tcW w:w="2104" w:type="dxa"/>
            <w:tcBorders>
              <w:top w:val="double" w:sz="6" w:space="0" w:color="auto"/>
              <w:left w:val="nil"/>
              <w:bottom w:val="single" w:sz="4" w:space="0" w:color="auto"/>
              <w:right w:val="single" w:sz="4" w:space="0" w:color="auto"/>
            </w:tcBorders>
            <w:shd w:val="clear" w:color="auto" w:fill="D8D8D8"/>
            <w:vAlign w:val="center"/>
            <w:hideMark/>
          </w:tcPr>
          <w:p w:rsidR="00D36E4B" w:rsidRPr="002C4162" w:rsidRDefault="00D36E4B" w:rsidP="00D36E4B">
            <w:pPr>
              <w:spacing w:after="0" w:line="240" w:lineRule="auto"/>
              <w:jc w:val="center"/>
              <w:rPr>
                <w:rFonts w:ascii="Times New Roman" w:eastAsia="Times New Roman" w:hAnsi="Times New Roman" w:cs="Times New Roman"/>
                <w:b/>
                <w:bCs/>
                <w:sz w:val="24"/>
                <w:szCs w:val="28"/>
                <w:lang w:eastAsia="it-IT"/>
              </w:rPr>
            </w:pPr>
            <w:r w:rsidRPr="002C4162">
              <w:rPr>
                <w:rFonts w:ascii="Times New Roman" w:eastAsia="Times New Roman" w:hAnsi="Times New Roman" w:cs="Times New Roman"/>
                <w:b/>
                <w:bCs/>
                <w:sz w:val="24"/>
                <w:szCs w:val="28"/>
                <w:lang w:eastAsia="it-IT"/>
              </w:rPr>
              <w:t xml:space="preserve">Periodo di detenzione </w:t>
            </w:r>
          </w:p>
        </w:tc>
        <w:tc>
          <w:tcPr>
            <w:tcW w:w="2299" w:type="dxa"/>
            <w:tcBorders>
              <w:top w:val="double" w:sz="6" w:space="0" w:color="auto"/>
              <w:left w:val="nil"/>
              <w:bottom w:val="single" w:sz="4" w:space="0" w:color="auto"/>
              <w:right w:val="single" w:sz="4" w:space="0" w:color="auto"/>
            </w:tcBorders>
            <w:shd w:val="clear" w:color="auto" w:fill="D8D8D8"/>
            <w:vAlign w:val="center"/>
            <w:hideMark/>
          </w:tcPr>
          <w:p w:rsidR="00D36E4B" w:rsidRPr="002C4162" w:rsidRDefault="00D36E4B" w:rsidP="00D36E4B">
            <w:pPr>
              <w:spacing w:after="0" w:line="240" w:lineRule="auto"/>
              <w:jc w:val="center"/>
              <w:rPr>
                <w:rFonts w:ascii="Times New Roman" w:eastAsia="Times New Roman" w:hAnsi="Times New Roman" w:cs="Times New Roman"/>
                <w:b/>
                <w:bCs/>
                <w:sz w:val="24"/>
                <w:szCs w:val="28"/>
                <w:lang w:val="en-US" w:eastAsia="it-IT"/>
              </w:rPr>
            </w:pPr>
            <w:proofErr w:type="spellStart"/>
            <w:r w:rsidRPr="002C4162">
              <w:rPr>
                <w:rFonts w:ascii="Times New Roman" w:eastAsia="Times New Roman" w:hAnsi="Times New Roman" w:cs="Times New Roman"/>
                <w:b/>
                <w:bCs/>
                <w:sz w:val="24"/>
                <w:szCs w:val="28"/>
                <w:lang w:val="en-US" w:eastAsia="it-IT"/>
              </w:rPr>
              <w:t>Numero</w:t>
            </w:r>
            <w:proofErr w:type="spellEnd"/>
            <w:r w:rsidRPr="002C4162">
              <w:rPr>
                <w:rFonts w:ascii="Times New Roman" w:eastAsia="Times New Roman" w:hAnsi="Times New Roman" w:cs="Times New Roman"/>
                <w:b/>
                <w:bCs/>
                <w:sz w:val="24"/>
                <w:szCs w:val="28"/>
                <w:lang w:val="en-US" w:eastAsia="it-IT"/>
              </w:rPr>
              <w:t xml:space="preserve"> </w:t>
            </w:r>
            <w:proofErr w:type="spellStart"/>
            <w:r w:rsidRPr="002C4162">
              <w:rPr>
                <w:rFonts w:ascii="Times New Roman" w:eastAsia="Times New Roman" w:hAnsi="Times New Roman" w:cs="Times New Roman"/>
                <w:b/>
                <w:bCs/>
                <w:sz w:val="24"/>
                <w:szCs w:val="28"/>
                <w:lang w:val="en-US" w:eastAsia="it-IT"/>
              </w:rPr>
              <w:t>totale</w:t>
            </w:r>
            <w:proofErr w:type="spellEnd"/>
            <w:r w:rsidRPr="002C4162">
              <w:rPr>
                <w:rFonts w:ascii="Times New Roman" w:eastAsia="Times New Roman" w:hAnsi="Times New Roman" w:cs="Times New Roman"/>
                <w:b/>
                <w:bCs/>
                <w:sz w:val="24"/>
                <w:szCs w:val="28"/>
                <w:lang w:val="en-US" w:eastAsia="it-IT"/>
              </w:rPr>
              <w:t xml:space="preserve"> di </w:t>
            </w:r>
            <w:proofErr w:type="spellStart"/>
            <w:r w:rsidRPr="002C4162">
              <w:rPr>
                <w:rFonts w:ascii="Times New Roman" w:eastAsia="Times New Roman" w:hAnsi="Times New Roman" w:cs="Times New Roman"/>
                <w:b/>
                <w:bCs/>
                <w:sz w:val="24"/>
                <w:szCs w:val="28"/>
                <w:lang w:val="en-US" w:eastAsia="it-IT"/>
              </w:rPr>
              <w:t>detenuti</w:t>
            </w:r>
            <w:proofErr w:type="spellEnd"/>
          </w:p>
        </w:tc>
        <w:tc>
          <w:tcPr>
            <w:tcW w:w="2798" w:type="dxa"/>
            <w:tcBorders>
              <w:top w:val="double" w:sz="6" w:space="0" w:color="auto"/>
              <w:left w:val="nil"/>
              <w:bottom w:val="single" w:sz="4" w:space="0" w:color="auto"/>
              <w:right w:val="single" w:sz="4" w:space="0" w:color="auto"/>
            </w:tcBorders>
            <w:shd w:val="clear" w:color="auto" w:fill="D8D8D8"/>
            <w:vAlign w:val="center"/>
            <w:hideMark/>
          </w:tcPr>
          <w:p w:rsidR="00D36E4B" w:rsidRPr="002C4162" w:rsidRDefault="00D36E4B" w:rsidP="00D36E4B">
            <w:pPr>
              <w:spacing w:after="0" w:line="240" w:lineRule="auto"/>
              <w:jc w:val="center"/>
              <w:rPr>
                <w:rFonts w:ascii="Times New Roman" w:eastAsia="Times New Roman" w:hAnsi="Times New Roman" w:cs="Times New Roman"/>
                <w:b/>
                <w:bCs/>
                <w:sz w:val="24"/>
                <w:szCs w:val="28"/>
                <w:lang w:eastAsia="it-IT"/>
              </w:rPr>
            </w:pPr>
            <w:r w:rsidRPr="002C4162">
              <w:rPr>
                <w:rFonts w:ascii="Times New Roman" w:eastAsia="Times New Roman" w:hAnsi="Times New Roman" w:cs="Times New Roman"/>
                <w:b/>
                <w:bCs/>
                <w:sz w:val="24"/>
                <w:szCs w:val="28"/>
                <w:lang w:eastAsia="it-IT"/>
              </w:rPr>
              <w:t>Grandezza della cella in metri quadri</w:t>
            </w:r>
          </w:p>
        </w:tc>
        <w:tc>
          <w:tcPr>
            <w:tcW w:w="960" w:type="dxa"/>
            <w:tcBorders>
              <w:top w:val="double" w:sz="6" w:space="0" w:color="auto"/>
              <w:left w:val="nil"/>
              <w:bottom w:val="single" w:sz="4" w:space="0" w:color="auto"/>
              <w:right w:val="double" w:sz="6" w:space="0" w:color="auto"/>
            </w:tcBorders>
            <w:shd w:val="clear" w:color="auto" w:fill="D8D8D8"/>
            <w:vAlign w:val="center"/>
            <w:hideMark/>
          </w:tcPr>
          <w:p w:rsidR="00D36E4B" w:rsidRPr="002C4162" w:rsidRDefault="00D36E4B" w:rsidP="00D36E4B">
            <w:pPr>
              <w:spacing w:after="0" w:line="240" w:lineRule="auto"/>
              <w:jc w:val="center"/>
              <w:rPr>
                <w:rFonts w:ascii="Times New Roman" w:eastAsia="Times New Roman" w:hAnsi="Times New Roman" w:cs="Times New Roman"/>
                <w:b/>
                <w:bCs/>
                <w:sz w:val="24"/>
                <w:szCs w:val="28"/>
                <w:lang w:eastAsia="it-IT"/>
              </w:rPr>
            </w:pPr>
            <w:r w:rsidRPr="002C4162">
              <w:rPr>
                <w:rFonts w:ascii="Times New Roman" w:eastAsia="Times New Roman" w:hAnsi="Times New Roman" w:cs="Times New Roman"/>
                <w:b/>
                <w:bCs/>
                <w:sz w:val="24"/>
                <w:szCs w:val="28"/>
                <w:lang w:eastAsia="it-IT"/>
              </w:rPr>
              <w:t>Spazio personale in metri quadri</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16.10-15.11.2009</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16.11-19.11.2009</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3.94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20.11.2009-05.02.2010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06.02-08.02.2010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3,94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09.02-10.04.2010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I/O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11.04-20.042010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19.07</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3,94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21.04.2010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22.04-29.04.2010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30.04-02.05.2010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03.05-05.05.2010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06.05-07.05.2010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08.05-09.05.2010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10.05-25.05.2010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26.05.2010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27.05-02.06.2010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03.06-04.06.2010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05.06-16.06.2010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17.06-19.06.2010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20.06-30.06.2010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01.07-02.07.2010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03.07-05.07.2010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06.07.17.07.2010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18.07-13.08.2010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AD79ED" w:rsidTr="00D36E4B">
        <w:trPr>
          <w:trHeight w:val="300"/>
        </w:trPr>
        <w:tc>
          <w:tcPr>
            <w:tcW w:w="9280" w:type="dxa"/>
            <w:gridSpan w:val="5"/>
            <w:tcBorders>
              <w:top w:val="single" w:sz="4" w:space="0" w:color="auto"/>
              <w:left w:val="double" w:sz="6" w:space="0" w:color="auto"/>
              <w:bottom w:val="single" w:sz="4" w:space="0" w:color="auto"/>
              <w:right w:val="double" w:sz="6" w:space="0" w:color="000000"/>
            </w:tcBorders>
            <w:noWrap/>
            <w:vAlign w:val="center"/>
            <w:hideMark/>
          </w:tcPr>
          <w:p w:rsidR="00D36E4B" w:rsidRPr="00AD79ED" w:rsidRDefault="00D36E4B" w:rsidP="00D36E4B">
            <w:pPr>
              <w:spacing w:after="0" w:line="240" w:lineRule="auto"/>
              <w:jc w:val="center"/>
              <w:rPr>
                <w:rFonts w:ascii="Times New Roman" w:eastAsia="Times New Roman" w:hAnsi="Times New Roman" w:cs="Times New Roman"/>
                <w:color w:val="000000"/>
                <w:sz w:val="24"/>
                <w:szCs w:val="28"/>
                <w:lang w:eastAsia="it-IT"/>
              </w:rPr>
            </w:pPr>
            <w:r w:rsidRPr="00AD79ED">
              <w:rPr>
                <w:rFonts w:ascii="Times New Roman" w:eastAsia="Times New Roman" w:hAnsi="Times New Roman" w:cs="Times New Roman"/>
                <w:color w:val="000000"/>
                <w:sz w:val="24"/>
                <w:szCs w:val="28"/>
                <w:lang w:eastAsia="it-IT"/>
              </w:rPr>
              <w:t>14.08-17.08.2010 Periodo trascorso nell’ospedale penitenziario</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18.08-26.08.2010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27.08-30.08.2010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31.08-02.09.2010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03.09.2010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3,19</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04.09-06.09.2010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07.09.2010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5,72</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08.09-16.09.2010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17.09.2010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18.09.2010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19.09-01.10.2010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02.10-05.10.2010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06.10-07.10.2010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4,44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08.10-19.10.2010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5,55</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20.10-21.10.2010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7,39</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22.10-23.10.2010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5,55</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24.10-25.10.2010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4,44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26.10-28-10-2010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29.10-30.10.2010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4,44</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8/I</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31.10-04.11.2010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05.11.2010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3,73</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01.11-09.11.2010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4,47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10.11-13.11.2010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3,73</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14.11-18.11.2010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3,19</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19.11-26.11.2010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4/O</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27.11-30.11.2010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22.36</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3,19</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01.12-03.12.2010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04.12-09.12.2010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10.12-12.12.2010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13.12-21.12.2010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22.12-24.12.2010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25.12-31.12.2010</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01.01-16.01.2011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17.01-25.01.2011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26.01-27.01.2011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28.01-23.02.2011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24.02-25.02.2011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2,86</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26.02-28.02.2011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7</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3,27</w:t>
            </w:r>
          </w:p>
        </w:tc>
      </w:tr>
      <w:tr w:rsidR="00D36E4B" w:rsidRPr="002C4162" w:rsidTr="00D36E4B">
        <w:trPr>
          <w:trHeight w:val="300"/>
        </w:trPr>
        <w:tc>
          <w:tcPr>
            <w:tcW w:w="1119" w:type="dxa"/>
            <w:tcBorders>
              <w:top w:val="nil"/>
              <w:left w:val="double" w:sz="6" w:space="0" w:color="auto"/>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01.03-15.03.2011</w:t>
            </w:r>
          </w:p>
        </w:tc>
        <w:tc>
          <w:tcPr>
            <w:tcW w:w="2299"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5</w:t>
            </w:r>
          </w:p>
        </w:tc>
        <w:tc>
          <w:tcPr>
            <w:tcW w:w="2798" w:type="dxa"/>
            <w:tcBorders>
              <w:top w:val="nil"/>
              <w:left w:val="nil"/>
              <w:bottom w:val="single" w:sz="4"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single" w:sz="4"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4,58</w:t>
            </w:r>
          </w:p>
        </w:tc>
      </w:tr>
      <w:tr w:rsidR="00D36E4B" w:rsidRPr="002C4162" w:rsidTr="00D36E4B">
        <w:trPr>
          <w:trHeight w:val="315"/>
        </w:trPr>
        <w:tc>
          <w:tcPr>
            <w:tcW w:w="1119" w:type="dxa"/>
            <w:tcBorders>
              <w:top w:val="nil"/>
              <w:left w:val="double" w:sz="6" w:space="0" w:color="auto"/>
              <w:bottom w:val="double" w:sz="6"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8/0</w:t>
            </w:r>
          </w:p>
        </w:tc>
        <w:tc>
          <w:tcPr>
            <w:tcW w:w="2104" w:type="dxa"/>
            <w:tcBorders>
              <w:top w:val="nil"/>
              <w:left w:val="nil"/>
              <w:bottom w:val="double" w:sz="6"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16.03.2011</w:t>
            </w:r>
          </w:p>
        </w:tc>
        <w:tc>
          <w:tcPr>
            <w:tcW w:w="2299" w:type="dxa"/>
            <w:tcBorders>
              <w:top w:val="nil"/>
              <w:left w:val="nil"/>
              <w:bottom w:val="double" w:sz="6"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6</w:t>
            </w:r>
          </w:p>
        </w:tc>
        <w:tc>
          <w:tcPr>
            <w:tcW w:w="2798" w:type="dxa"/>
            <w:tcBorders>
              <w:top w:val="nil"/>
              <w:left w:val="nil"/>
              <w:bottom w:val="double" w:sz="6" w:space="0" w:color="auto"/>
              <w:right w:val="single" w:sz="4"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22.88</w:t>
            </w:r>
          </w:p>
        </w:tc>
        <w:tc>
          <w:tcPr>
            <w:tcW w:w="960" w:type="dxa"/>
            <w:tcBorders>
              <w:top w:val="nil"/>
              <w:left w:val="nil"/>
              <w:bottom w:val="double" w:sz="6" w:space="0" w:color="auto"/>
              <w:right w:val="double" w:sz="6" w:space="0" w:color="auto"/>
            </w:tcBorders>
            <w:noWrap/>
            <w:vAlign w:val="center"/>
            <w:hideMark/>
          </w:tcPr>
          <w:p w:rsidR="00D36E4B" w:rsidRPr="002C4162" w:rsidRDefault="00D36E4B">
            <w:pPr>
              <w:spacing w:after="0" w:line="240" w:lineRule="auto"/>
              <w:jc w:val="center"/>
              <w:rPr>
                <w:rFonts w:ascii="Times New Roman" w:eastAsia="Times New Roman" w:hAnsi="Times New Roman" w:cs="Times New Roman"/>
                <w:color w:val="000000"/>
                <w:sz w:val="24"/>
                <w:szCs w:val="28"/>
                <w:lang w:eastAsia="it-IT"/>
              </w:rPr>
            </w:pPr>
            <w:r w:rsidRPr="002C4162">
              <w:rPr>
                <w:rFonts w:ascii="Times New Roman" w:eastAsia="Times New Roman" w:hAnsi="Times New Roman" w:cs="Times New Roman"/>
                <w:color w:val="000000"/>
                <w:sz w:val="24"/>
                <w:szCs w:val="28"/>
                <w:lang w:eastAsia="it-IT"/>
              </w:rPr>
              <w:t>3,81</w:t>
            </w:r>
          </w:p>
        </w:tc>
      </w:tr>
    </w:tbl>
    <w:p w:rsidR="00D36E4B" w:rsidRPr="00572778" w:rsidRDefault="00D36E4B" w:rsidP="00D36E4B">
      <w:pPr>
        <w:rPr>
          <w:rFonts w:ascii="Times New Roman" w:hAnsi="Times New Roman" w:cs="Times New Roman"/>
          <w:sz w:val="28"/>
          <w:szCs w:val="28"/>
        </w:rPr>
      </w:pPr>
    </w:p>
    <w:p w:rsidR="00E71E91" w:rsidRPr="00572778" w:rsidRDefault="00343B3F"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Governo ha anche </w:t>
      </w:r>
      <w:r w:rsidR="00EA01E3">
        <w:rPr>
          <w:rFonts w:ascii="Times New Roman" w:hAnsi="Times New Roman" w:cs="Times New Roman"/>
          <w:sz w:val="28"/>
          <w:szCs w:val="28"/>
        </w:rPr>
        <w:t>affermato</w:t>
      </w:r>
      <w:r w:rsidRPr="00572778">
        <w:rPr>
          <w:rFonts w:ascii="Times New Roman" w:hAnsi="Times New Roman" w:cs="Times New Roman"/>
          <w:sz w:val="28"/>
          <w:szCs w:val="28"/>
        </w:rPr>
        <w:t xml:space="preserve"> che ogni cella </w:t>
      </w:r>
      <w:r w:rsidR="00EA01E3">
        <w:rPr>
          <w:rFonts w:ascii="Times New Roman" w:hAnsi="Times New Roman" w:cs="Times New Roman"/>
          <w:sz w:val="28"/>
          <w:szCs w:val="28"/>
        </w:rPr>
        <w:t>aveva</w:t>
      </w:r>
      <w:r w:rsidR="001F50EF" w:rsidRPr="00572778">
        <w:rPr>
          <w:rFonts w:ascii="Times New Roman" w:hAnsi="Times New Roman" w:cs="Times New Roman"/>
          <w:sz w:val="28"/>
          <w:szCs w:val="28"/>
        </w:rPr>
        <w:t xml:space="preserve"> un servizio sanitario completamente separato dall</w:t>
      </w:r>
      <w:r w:rsidR="005C592E" w:rsidRPr="00572778">
        <w:rPr>
          <w:rFonts w:ascii="Times New Roman" w:hAnsi="Times New Roman" w:cs="Times New Roman"/>
          <w:sz w:val="28"/>
          <w:szCs w:val="28"/>
        </w:rPr>
        <w:t xml:space="preserve">o spazio vitale, ciascuno con un proprio sistema di ventilazione. Tutte le celle avevano accesso all’acqua potabile, ed avevano finestre </w:t>
      </w:r>
      <w:r w:rsidR="00744A3B" w:rsidRPr="00572778">
        <w:rPr>
          <w:rFonts w:ascii="Times New Roman" w:hAnsi="Times New Roman" w:cs="Times New Roman"/>
          <w:sz w:val="28"/>
          <w:szCs w:val="28"/>
        </w:rPr>
        <w:t>che consentivano l’entrata della luce naturale e di aria fresca. Durante l’inverno,</w:t>
      </w:r>
      <w:r w:rsidR="00115C23" w:rsidRPr="00572778">
        <w:rPr>
          <w:rFonts w:ascii="Times New Roman" w:hAnsi="Times New Roman" w:cs="Times New Roman"/>
          <w:sz w:val="28"/>
          <w:szCs w:val="28"/>
        </w:rPr>
        <w:t xml:space="preserve"> le celle erano riscaldate da un sistema di riscaldamento centrale. Erano costantemente in </w:t>
      </w:r>
      <w:r w:rsidR="004131DD" w:rsidRPr="00572778">
        <w:rPr>
          <w:rFonts w:ascii="Times New Roman" w:hAnsi="Times New Roman" w:cs="Times New Roman"/>
          <w:sz w:val="28"/>
          <w:szCs w:val="28"/>
        </w:rPr>
        <w:t>manutenzione ed alcuni lavori</w:t>
      </w:r>
      <w:r w:rsidR="00DE76AD" w:rsidRPr="00572778">
        <w:rPr>
          <w:rFonts w:ascii="Times New Roman" w:hAnsi="Times New Roman" w:cs="Times New Roman"/>
          <w:sz w:val="28"/>
          <w:szCs w:val="28"/>
        </w:rPr>
        <w:t xml:space="preserve"> di</w:t>
      </w:r>
      <w:r w:rsidR="002E3A8D" w:rsidRPr="00572778">
        <w:rPr>
          <w:rFonts w:ascii="Times New Roman" w:hAnsi="Times New Roman" w:cs="Times New Roman"/>
          <w:sz w:val="28"/>
          <w:szCs w:val="28"/>
        </w:rPr>
        <w:t xml:space="preserve"> ripristino e </w:t>
      </w:r>
      <w:r w:rsidR="008765AD" w:rsidRPr="00572778">
        <w:rPr>
          <w:rFonts w:ascii="Times New Roman" w:hAnsi="Times New Roman" w:cs="Times New Roman"/>
          <w:sz w:val="28"/>
          <w:szCs w:val="28"/>
        </w:rPr>
        <w:t xml:space="preserve">miglioramenti alle strutture </w:t>
      </w:r>
      <w:r w:rsidR="002E3A8D" w:rsidRPr="00572778">
        <w:rPr>
          <w:rFonts w:ascii="Times New Roman" w:hAnsi="Times New Roman" w:cs="Times New Roman"/>
          <w:sz w:val="28"/>
          <w:szCs w:val="28"/>
        </w:rPr>
        <w:t xml:space="preserve">sono stati apportati </w:t>
      </w:r>
      <w:r w:rsidR="005C4E1B" w:rsidRPr="00572778">
        <w:rPr>
          <w:rFonts w:ascii="Times New Roman" w:hAnsi="Times New Roman" w:cs="Times New Roman"/>
          <w:sz w:val="28"/>
          <w:szCs w:val="28"/>
        </w:rPr>
        <w:t xml:space="preserve">nel 2007, 2009 e 2010, che il governo ha </w:t>
      </w:r>
      <w:r w:rsidR="00D602FC" w:rsidRPr="00572778">
        <w:rPr>
          <w:rFonts w:ascii="Times New Roman" w:hAnsi="Times New Roman" w:cs="Times New Roman"/>
          <w:sz w:val="28"/>
          <w:szCs w:val="28"/>
        </w:rPr>
        <w:t xml:space="preserve">dimostrato con fotografie, </w:t>
      </w:r>
      <w:r w:rsidR="00207455" w:rsidRPr="00572778">
        <w:rPr>
          <w:rFonts w:ascii="Times New Roman" w:hAnsi="Times New Roman" w:cs="Times New Roman"/>
          <w:sz w:val="28"/>
          <w:szCs w:val="28"/>
        </w:rPr>
        <w:t>planimetrie,</w:t>
      </w:r>
      <w:r w:rsidR="00D12046" w:rsidRPr="00572778">
        <w:rPr>
          <w:rFonts w:ascii="Times New Roman" w:hAnsi="Times New Roman" w:cs="Times New Roman"/>
          <w:sz w:val="28"/>
          <w:szCs w:val="28"/>
        </w:rPr>
        <w:t xml:space="preserve"> ed altra documentazione significativa.</w:t>
      </w:r>
      <w:r w:rsidR="00A57111" w:rsidRPr="00572778">
        <w:rPr>
          <w:rFonts w:ascii="Times New Roman" w:hAnsi="Times New Roman" w:cs="Times New Roman"/>
          <w:sz w:val="28"/>
          <w:szCs w:val="28"/>
        </w:rPr>
        <w:t xml:space="preserve"> Inoltre, ai deten</w:t>
      </w:r>
      <w:r w:rsidR="00E35561">
        <w:rPr>
          <w:rFonts w:ascii="Times New Roman" w:hAnsi="Times New Roman" w:cs="Times New Roman"/>
          <w:sz w:val="28"/>
          <w:szCs w:val="28"/>
        </w:rPr>
        <w:t>uti sono stati forniti</w:t>
      </w:r>
      <w:r w:rsidR="00143AF8" w:rsidRPr="00572778">
        <w:rPr>
          <w:rFonts w:ascii="Times New Roman" w:hAnsi="Times New Roman" w:cs="Times New Roman"/>
          <w:sz w:val="28"/>
          <w:szCs w:val="28"/>
        </w:rPr>
        <w:t xml:space="preserve"> tutti i </w:t>
      </w:r>
      <w:r w:rsidR="008765AD">
        <w:rPr>
          <w:rFonts w:ascii="Times New Roman" w:hAnsi="Times New Roman" w:cs="Times New Roman"/>
          <w:sz w:val="28"/>
          <w:szCs w:val="28"/>
        </w:rPr>
        <w:t xml:space="preserve">necessari </w:t>
      </w:r>
      <w:r w:rsidR="00143AF8" w:rsidRPr="00572778">
        <w:rPr>
          <w:rFonts w:ascii="Times New Roman" w:hAnsi="Times New Roman" w:cs="Times New Roman"/>
          <w:sz w:val="28"/>
          <w:szCs w:val="28"/>
        </w:rPr>
        <w:t>servizi igienici e sanitari</w:t>
      </w:r>
      <w:r w:rsidR="00AF6101" w:rsidRPr="00572778">
        <w:rPr>
          <w:rFonts w:ascii="Times New Roman" w:hAnsi="Times New Roman" w:cs="Times New Roman"/>
          <w:sz w:val="28"/>
          <w:szCs w:val="28"/>
        </w:rPr>
        <w:t>. L’alimentazione era basata sulla valutazione degli esperti e la qualità del cibo era costantemente monitorata dalle autorità statali competenti, che il Governo dimostr</w:t>
      </w:r>
      <w:r w:rsidR="008765AD">
        <w:rPr>
          <w:rFonts w:ascii="Times New Roman" w:hAnsi="Times New Roman" w:cs="Times New Roman"/>
          <w:sz w:val="28"/>
          <w:szCs w:val="28"/>
        </w:rPr>
        <w:t>ò</w:t>
      </w:r>
      <w:r w:rsidR="00AF6101" w:rsidRPr="00572778">
        <w:rPr>
          <w:rFonts w:ascii="Times New Roman" w:hAnsi="Times New Roman" w:cs="Times New Roman"/>
          <w:sz w:val="28"/>
          <w:szCs w:val="28"/>
        </w:rPr>
        <w:t xml:space="preserve"> con la relativa documentazione.</w:t>
      </w:r>
    </w:p>
    <w:p w:rsidR="00FB743C" w:rsidRDefault="001C075B"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Governo spieg</w:t>
      </w:r>
      <w:r w:rsidR="00305E5C">
        <w:rPr>
          <w:rFonts w:ascii="Times New Roman" w:hAnsi="Times New Roman" w:cs="Times New Roman"/>
          <w:sz w:val="28"/>
          <w:szCs w:val="28"/>
        </w:rPr>
        <w:t>ò</w:t>
      </w:r>
      <w:r w:rsidRPr="00572778">
        <w:rPr>
          <w:rFonts w:ascii="Times New Roman" w:hAnsi="Times New Roman" w:cs="Times New Roman"/>
          <w:sz w:val="28"/>
          <w:szCs w:val="28"/>
        </w:rPr>
        <w:t xml:space="preserve"> anche che per tre ore al giorno, tra le 4 e le 7 </w:t>
      </w:r>
      <w:r w:rsidR="00305E5C">
        <w:rPr>
          <w:rFonts w:ascii="Times New Roman" w:hAnsi="Times New Roman" w:cs="Times New Roman"/>
          <w:sz w:val="28"/>
          <w:szCs w:val="28"/>
        </w:rPr>
        <w:t>pomeridiane</w:t>
      </w:r>
      <w:r w:rsidRPr="00572778">
        <w:rPr>
          <w:rFonts w:ascii="Times New Roman" w:hAnsi="Times New Roman" w:cs="Times New Roman"/>
          <w:sz w:val="28"/>
          <w:szCs w:val="28"/>
        </w:rPr>
        <w:t>, al ricorrente era stato consentito di muoversi liberamente fuori dalla cella.</w:t>
      </w:r>
      <w:r w:rsidR="006B06A5">
        <w:rPr>
          <w:rFonts w:ascii="Times New Roman" w:hAnsi="Times New Roman" w:cs="Times New Roman"/>
          <w:sz w:val="28"/>
          <w:szCs w:val="28"/>
        </w:rPr>
        <w:t xml:space="preserve"> Inoltre </w:t>
      </w:r>
      <w:r w:rsidR="00E52F49" w:rsidRPr="00572778">
        <w:rPr>
          <w:rFonts w:ascii="Times New Roman" w:hAnsi="Times New Roman" w:cs="Times New Roman"/>
          <w:sz w:val="28"/>
          <w:szCs w:val="28"/>
        </w:rPr>
        <w:t xml:space="preserve">gli era stato </w:t>
      </w:r>
      <w:r w:rsidR="00D774A3">
        <w:rPr>
          <w:rFonts w:ascii="Times New Roman" w:hAnsi="Times New Roman" w:cs="Times New Roman"/>
          <w:sz w:val="28"/>
          <w:szCs w:val="28"/>
        </w:rPr>
        <w:t>consentito</w:t>
      </w:r>
      <w:r w:rsidR="00E52F49" w:rsidRPr="00572778">
        <w:rPr>
          <w:rFonts w:ascii="Times New Roman" w:hAnsi="Times New Roman" w:cs="Times New Roman"/>
          <w:sz w:val="28"/>
          <w:szCs w:val="28"/>
        </w:rPr>
        <w:t xml:space="preserve"> di utilizzare</w:t>
      </w:r>
      <w:r w:rsidR="00A404BA" w:rsidRPr="00572778">
        <w:rPr>
          <w:rFonts w:ascii="Times New Roman" w:hAnsi="Times New Roman" w:cs="Times New Roman"/>
          <w:sz w:val="28"/>
          <w:szCs w:val="28"/>
        </w:rPr>
        <w:t xml:space="preserve"> la palestra, che era stata aperta </w:t>
      </w:r>
      <w:r w:rsidR="00471D9D">
        <w:rPr>
          <w:rFonts w:ascii="Times New Roman" w:hAnsi="Times New Roman" w:cs="Times New Roman"/>
          <w:sz w:val="28"/>
          <w:szCs w:val="28"/>
        </w:rPr>
        <w:t>dalle</w:t>
      </w:r>
      <w:r w:rsidR="00A404BA" w:rsidRPr="00572778">
        <w:rPr>
          <w:rFonts w:ascii="Times New Roman" w:hAnsi="Times New Roman" w:cs="Times New Roman"/>
          <w:sz w:val="28"/>
          <w:szCs w:val="28"/>
        </w:rPr>
        <w:t xml:space="preserve"> 8 </w:t>
      </w:r>
      <w:r w:rsidR="00471D9D">
        <w:rPr>
          <w:rFonts w:ascii="Times New Roman" w:hAnsi="Times New Roman" w:cs="Times New Roman"/>
          <w:sz w:val="28"/>
          <w:szCs w:val="28"/>
        </w:rPr>
        <w:t>alle</w:t>
      </w:r>
      <w:r w:rsidR="00A404BA" w:rsidRPr="00572778">
        <w:rPr>
          <w:rFonts w:ascii="Times New Roman" w:hAnsi="Times New Roman" w:cs="Times New Roman"/>
          <w:sz w:val="28"/>
          <w:szCs w:val="28"/>
        </w:rPr>
        <w:t xml:space="preserve"> 1</w:t>
      </w:r>
      <w:r w:rsidR="00794482" w:rsidRPr="00572778">
        <w:rPr>
          <w:rFonts w:ascii="Times New Roman" w:hAnsi="Times New Roman" w:cs="Times New Roman"/>
          <w:sz w:val="28"/>
          <w:szCs w:val="28"/>
        </w:rPr>
        <w:t xml:space="preserve">2.30 e </w:t>
      </w:r>
      <w:r w:rsidR="00471D9D">
        <w:rPr>
          <w:rFonts w:ascii="Times New Roman" w:hAnsi="Times New Roman" w:cs="Times New Roman"/>
          <w:sz w:val="28"/>
          <w:szCs w:val="28"/>
        </w:rPr>
        <w:t>dalle 14.00 alle</w:t>
      </w:r>
      <w:r w:rsidR="00794482" w:rsidRPr="00572778">
        <w:rPr>
          <w:rFonts w:ascii="Times New Roman" w:hAnsi="Times New Roman" w:cs="Times New Roman"/>
          <w:sz w:val="28"/>
          <w:szCs w:val="28"/>
        </w:rPr>
        <w:t xml:space="preserve"> </w:t>
      </w:r>
      <w:r w:rsidR="00471D9D">
        <w:rPr>
          <w:rFonts w:ascii="Times New Roman" w:hAnsi="Times New Roman" w:cs="Times New Roman"/>
          <w:sz w:val="28"/>
          <w:szCs w:val="28"/>
        </w:rPr>
        <w:t>18.00</w:t>
      </w:r>
      <w:r w:rsidR="00794482" w:rsidRPr="00572778">
        <w:rPr>
          <w:rFonts w:ascii="Times New Roman" w:hAnsi="Times New Roman" w:cs="Times New Roman"/>
          <w:sz w:val="28"/>
          <w:szCs w:val="28"/>
        </w:rPr>
        <w:t xml:space="preserve">, ed il campo da basket, che era stato aperto i giorni lavorativi </w:t>
      </w:r>
      <w:r w:rsidR="00471D9D">
        <w:rPr>
          <w:rFonts w:ascii="Times New Roman" w:hAnsi="Times New Roman" w:cs="Times New Roman"/>
          <w:sz w:val="28"/>
          <w:szCs w:val="28"/>
        </w:rPr>
        <w:t xml:space="preserve">dalle 15.00 alle 18.00 </w:t>
      </w:r>
      <w:r w:rsidR="00794482" w:rsidRPr="00572778">
        <w:rPr>
          <w:rFonts w:ascii="Times New Roman" w:hAnsi="Times New Roman" w:cs="Times New Roman"/>
          <w:sz w:val="28"/>
          <w:szCs w:val="28"/>
        </w:rPr>
        <w:t>e ne</w:t>
      </w:r>
      <w:r w:rsidR="006A20C3">
        <w:rPr>
          <w:rFonts w:ascii="Times New Roman" w:hAnsi="Times New Roman" w:cs="Times New Roman"/>
          <w:sz w:val="28"/>
          <w:szCs w:val="28"/>
        </w:rPr>
        <w:t xml:space="preserve">i weekend sia </w:t>
      </w:r>
      <w:r w:rsidR="007D378E">
        <w:rPr>
          <w:rFonts w:ascii="Times New Roman" w:hAnsi="Times New Roman" w:cs="Times New Roman"/>
          <w:sz w:val="28"/>
          <w:szCs w:val="28"/>
        </w:rPr>
        <w:t>di</w:t>
      </w:r>
      <w:r w:rsidR="006A20C3">
        <w:rPr>
          <w:rFonts w:ascii="Times New Roman" w:hAnsi="Times New Roman" w:cs="Times New Roman"/>
          <w:sz w:val="28"/>
          <w:szCs w:val="28"/>
        </w:rPr>
        <w:t xml:space="preserve"> mattina che </w:t>
      </w:r>
      <w:r w:rsidR="007D378E">
        <w:rPr>
          <w:rFonts w:ascii="Times New Roman" w:hAnsi="Times New Roman" w:cs="Times New Roman"/>
          <w:sz w:val="28"/>
          <w:szCs w:val="28"/>
        </w:rPr>
        <w:t>di</w:t>
      </w:r>
      <w:r w:rsidR="00794482" w:rsidRPr="00572778">
        <w:rPr>
          <w:rFonts w:ascii="Times New Roman" w:hAnsi="Times New Roman" w:cs="Times New Roman"/>
          <w:sz w:val="28"/>
          <w:szCs w:val="28"/>
        </w:rPr>
        <w:t xml:space="preserve"> pomeriggio. Il carcere era anche stato attrezzato con </w:t>
      </w:r>
      <w:r w:rsidR="00B437F4" w:rsidRPr="00572778">
        <w:rPr>
          <w:rFonts w:ascii="Times New Roman" w:hAnsi="Times New Roman" w:cs="Times New Roman"/>
          <w:sz w:val="28"/>
          <w:szCs w:val="28"/>
        </w:rPr>
        <w:t>un campo da badminton, tavoli da ping-pong e scacchi, tutti a disposizione del ricorrente.</w:t>
      </w:r>
      <w:r w:rsidR="00FB743C" w:rsidRPr="00572778">
        <w:rPr>
          <w:rFonts w:ascii="Times New Roman" w:hAnsi="Times New Roman" w:cs="Times New Roman"/>
          <w:sz w:val="28"/>
          <w:szCs w:val="28"/>
        </w:rPr>
        <w:t xml:space="preserve"> Egli </w:t>
      </w:r>
      <w:r w:rsidR="001C334A">
        <w:rPr>
          <w:rFonts w:ascii="Times New Roman" w:hAnsi="Times New Roman" w:cs="Times New Roman"/>
          <w:sz w:val="28"/>
          <w:szCs w:val="28"/>
        </w:rPr>
        <w:t>avrebbe potuto</w:t>
      </w:r>
      <w:r w:rsidR="00FB743C" w:rsidRPr="00572778">
        <w:rPr>
          <w:rFonts w:ascii="Times New Roman" w:hAnsi="Times New Roman" w:cs="Times New Roman"/>
          <w:sz w:val="28"/>
          <w:szCs w:val="28"/>
        </w:rPr>
        <w:t xml:space="preserve"> pre</w:t>
      </w:r>
      <w:r w:rsidR="001C334A">
        <w:rPr>
          <w:rFonts w:ascii="Times New Roman" w:hAnsi="Times New Roman" w:cs="Times New Roman"/>
          <w:sz w:val="28"/>
          <w:szCs w:val="28"/>
        </w:rPr>
        <w:t>ndere</w:t>
      </w:r>
      <w:r w:rsidR="00FB743C" w:rsidRPr="00572778">
        <w:rPr>
          <w:rFonts w:ascii="Times New Roman" w:hAnsi="Times New Roman" w:cs="Times New Roman"/>
          <w:sz w:val="28"/>
          <w:szCs w:val="28"/>
        </w:rPr>
        <w:t xml:space="preserve"> in prestito libri dalla biblioteca di </w:t>
      </w:r>
      <w:proofErr w:type="spellStart"/>
      <w:r w:rsidR="00FB743C" w:rsidRPr="00572778">
        <w:rPr>
          <w:rFonts w:ascii="Times New Roman" w:hAnsi="Times New Roman" w:cs="Times New Roman"/>
          <w:sz w:val="28"/>
          <w:szCs w:val="28"/>
        </w:rPr>
        <w:t>Bjelovar</w:t>
      </w:r>
      <w:proofErr w:type="spellEnd"/>
      <w:r w:rsidR="00FB743C" w:rsidRPr="00572778">
        <w:rPr>
          <w:rFonts w:ascii="Times New Roman" w:hAnsi="Times New Roman" w:cs="Times New Roman"/>
          <w:sz w:val="28"/>
          <w:szCs w:val="28"/>
        </w:rPr>
        <w:t>, che forni</w:t>
      </w:r>
      <w:r w:rsidR="006A20C3">
        <w:rPr>
          <w:rFonts w:ascii="Times New Roman" w:hAnsi="Times New Roman" w:cs="Times New Roman"/>
          <w:sz w:val="28"/>
          <w:szCs w:val="28"/>
        </w:rPr>
        <w:t>va</w:t>
      </w:r>
      <w:r w:rsidR="00FB743C" w:rsidRPr="00572778">
        <w:rPr>
          <w:rFonts w:ascii="Times New Roman" w:hAnsi="Times New Roman" w:cs="Times New Roman"/>
          <w:sz w:val="28"/>
          <w:szCs w:val="28"/>
        </w:rPr>
        <w:t xml:space="preserve"> i propri servizi al carcere, e gli era stato consentito di guardare la</w:t>
      </w:r>
      <w:r w:rsidR="00744BDA">
        <w:rPr>
          <w:rFonts w:ascii="Times New Roman" w:hAnsi="Times New Roman" w:cs="Times New Roman"/>
          <w:sz w:val="28"/>
          <w:szCs w:val="28"/>
        </w:rPr>
        <w:t xml:space="preserve"> TV e prendere in prestito film</w:t>
      </w:r>
      <w:r w:rsidR="00FB743C" w:rsidRPr="00572778">
        <w:rPr>
          <w:rFonts w:ascii="Times New Roman" w:hAnsi="Times New Roman" w:cs="Times New Roman"/>
          <w:sz w:val="28"/>
          <w:szCs w:val="28"/>
        </w:rPr>
        <w:t>.</w:t>
      </w:r>
    </w:p>
    <w:p w:rsidR="006A20C3" w:rsidRPr="006A20C3" w:rsidRDefault="006A20C3" w:rsidP="00725131">
      <w:pPr>
        <w:spacing w:after="0" w:line="240" w:lineRule="auto"/>
        <w:jc w:val="both"/>
        <w:rPr>
          <w:rFonts w:ascii="Times New Roman" w:hAnsi="Times New Roman" w:cs="Times New Roman"/>
          <w:sz w:val="28"/>
          <w:szCs w:val="28"/>
        </w:rPr>
      </w:pPr>
    </w:p>
    <w:p w:rsidR="00FB743C" w:rsidRDefault="006A20C3" w:rsidP="00725131">
      <w:pPr>
        <w:pStyle w:val="Paragrafoelenco"/>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Lamentele</w:t>
      </w:r>
      <w:r w:rsidR="00CA7E85">
        <w:rPr>
          <w:rFonts w:ascii="Times New Roman" w:hAnsi="Times New Roman" w:cs="Times New Roman"/>
          <w:b/>
          <w:sz w:val="28"/>
          <w:szCs w:val="28"/>
        </w:rPr>
        <w:t xml:space="preserve"> </w:t>
      </w:r>
      <w:r w:rsidR="00FB743C" w:rsidRPr="00572778">
        <w:rPr>
          <w:rFonts w:ascii="Times New Roman" w:hAnsi="Times New Roman" w:cs="Times New Roman"/>
          <w:b/>
          <w:sz w:val="28"/>
          <w:szCs w:val="28"/>
        </w:rPr>
        <w:t>del ricorrente sulle condizioni di detenzione</w:t>
      </w:r>
    </w:p>
    <w:p w:rsidR="00725131" w:rsidRPr="00572778" w:rsidRDefault="00725131" w:rsidP="00725131">
      <w:pPr>
        <w:pStyle w:val="Paragrafoelenco"/>
        <w:spacing w:after="0" w:line="240" w:lineRule="auto"/>
        <w:ind w:left="502"/>
        <w:jc w:val="both"/>
        <w:rPr>
          <w:rFonts w:ascii="Times New Roman" w:hAnsi="Times New Roman" w:cs="Times New Roman"/>
          <w:b/>
          <w:sz w:val="28"/>
          <w:szCs w:val="28"/>
        </w:rPr>
      </w:pPr>
    </w:p>
    <w:p w:rsidR="00FB743C" w:rsidRPr="00572778" w:rsidRDefault="00FB743C"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24 marzo 2010 il ricorrente ha inoltrato una rich</w:t>
      </w:r>
      <w:r w:rsidR="00415A9D" w:rsidRPr="00572778">
        <w:rPr>
          <w:rFonts w:ascii="Times New Roman" w:hAnsi="Times New Roman" w:cs="Times New Roman"/>
          <w:sz w:val="28"/>
          <w:szCs w:val="28"/>
        </w:rPr>
        <w:t>ie</w:t>
      </w:r>
      <w:r w:rsidRPr="00572778">
        <w:rPr>
          <w:rFonts w:ascii="Times New Roman" w:hAnsi="Times New Roman" w:cs="Times New Roman"/>
          <w:sz w:val="28"/>
          <w:szCs w:val="28"/>
        </w:rPr>
        <w:t>sta</w:t>
      </w:r>
      <w:r w:rsidR="00415A9D" w:rsidRPr="00572778">
        <w:rPr>
          <w:rFonts w:ascii="Times New Roman" w:hAnsi="Times New Roman" w:cs="Times New Roman"/>
          <w:sz w:val="28"/>
          <w:szCs w:val="28"/>
        </w:rPr>
        <w:t xml:space="preserve"> all’Amministrazione penitenziaria di </w:t>
      </w:r>
      <w:proofErr w:type="spellStart"/>
      <w:r w:rsidR="00415A9D" w:rsidRPr="00572778">
        <w:rPr>
          <w:rFonts w:ascii="Times New Roman" w:hAnsi="Times New Roman" w:cs="Times New Roman"/>
          <w:sz w:val="28"/>
          <w:szCs w:val="28"/>
        </w:rPr>
        <w:t>Bjelovar</w:t>
      </w:r>
      <w:proofErr w:type="spellEnd"/>
      <w:r w:rsidR="00415A9D" w:rsidRPr="00572778">
        <w:rPr>
          <w:rFonts w:ascii="Times New Roman" w:hAnsi="Times New Roman" w:cs="Times New Roman"/>
          <w:sz w:val="28"/>
          <w:szCs w:val="28"/>
        </w:rPr>
        <w:t xml:space="preserve"> </w:t>
      </w:r>
      <w:r w:rsidR="006A20C3">
        <w:rPr>
          <w:rFonts w:ascii="Times New Roman" w:hAnsi="Times New Roman" w:cs="Times New Roman"/>
          <w:sz w:val="28"/>
          <w:szCs w:val="28"/>
        </w:rPr>
        <w:t>per il tramite di</w:t>
      </w:r>
      <w:r w:rsidR="00415A9D" w:rsidRPr="00572778">
        <w:rPr>
          <w:rFonts w:ascii="Times New Roman" w:hAnsi="Times New Roman" w:cs="Times New Roman"/>
          <w:sz w:val="28"/>
          <w:szCs w:val="28"/>
        </w:rPr>
        <w:t xml:space="preserve"> un avvocato, di essere trasferito al carcere di </w:t>
      </w:r>
      <w:proofErr w:type="spellStart"/>
      <w:r w:rsidR="00415A9D" w:rsidRPr="00572778">
        <w:rPr>
          <w:rFonts w:ascii="Times New Roman" w:hAnsi="Times New Roman" w:cs="Times New Roman"/>
          <w:sz w:val="28"/>
          <w:szCs w:val="28"/>
        </w:rPr>
        <w:t>Varaždin</w:t>
      </w:r>
      <w:proofErr w:type="spellEnd"/>
      <w:r w:rsidR="00415A9D" w:rsidRPr="00572778">
        <w:rPr>
          <w:rFonts w:ascii="Times New Roman" w:hAnsi="Times New Roman" w:cs="Times New Roman"/>
          <w:sz w:val="28"/>
          <w:szCs w:val="28"/>
        </w:rPr>
        <w:t xml:space="preserve"> per motivi personali e familiari.</w:t>
      </w:r>
    </w:p>
    <w:p w:rsidR="00415A9D" w:rsidRPr="00572778" w:rsidRDefault="00415A9D"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26 aprile 2010 egli si</w:t>
      </w:r>
      <w:r w:rsidR="00BC364A">
        <w:rPr>
          <w:rFonts w:ascii="Times New Roman" w:hAnsi="Times New Roman" w:cs="Times New Roman"/>
          <w:sz w:val="28"/>
          <w:szCs w:val="28"/>
        </w:rPr>
        <w:t xml:space="preserve"> </w:t>
      </w:r>
      <w:r w:rsidRPr="00572778">
        <w:rPr>
          <w:rFonts w:ascii="Times New Roman" w:hAnsi="Times New Roman" w:cs="Times New Roman"/>
          <w:sz w:val="28"/>
          <w:szCs w:val="28"/>
        </w:rPr>
        <w:t xml:space="preserve">lamentava presso il Ministero della Giustizia-Amministrazione penitenziaria in termini generali </w:t>
      </w:r>
      <w:r w:rsidR="00146E01">
        <w:rPr>
          <w:rFonts w:ascii="Times New Roman" w:hAnsi="Times New Roman" w:cs="Times New Roman"/>
          <w:sz w:val="28"/>
          <w:szCs w:val="28"/>
        </w:rPr>
        <w:t>della</w:t>
      </w:r>
      <w:r w:rsidR="00F919BB" w:rsidRPr="00572778">
        <w:rPr>
          <w:rFonts w:ascii="Times New Roman" w:hAnsi="Times New Roman" w:cs="Times New Roman"/>
          <w:sz w:val="28"/>
          <w:szCs w:val="28"/>
        </w:rPr>
        <w:t xml:space="preserve"> condotta</w:t>
      </w:r>
      <w:r w:rsidR="00BC364A">
        <w:rPr>
          <w:rFonts w:ascii="Times New Roman" w:hAnsi="Times New Roman" w:cs="Times New Roman"/>
          <w:sz w:val="28"/>
          <w:szCs w:val="28"/>
        </w:rPr>
        <w:t xml:space="preserve"> </w:t>
      </w:r>
      <w:r w:rsidR="00F919BB" w:rsidRPr="00572778">
        <w:rPr>
          <w:rFonts w:ascii="Times New Roman" w:hAnsi="Times New Roman" w:cs="Times New Roman"/>
          <w:sz w:val="28"/>
          <w:szCs w:val="28"/>
        </w:rPr>
        <w:t xml:space="preserve">dell’amministrazione penitenziaria di </w:t>
      </w:r>
      <w:proofErr w:type="spellStart"/>
      <w:r w:rsidR="00F919BB" w:rsidRPr="00572778">
        <w:rPr>
          <w:rFonts w:ascii="Times New Roman" w:hAnsi="Times New Roman" w:cs="Times New Roman"/>
          <w:sz w:val="28"/>
          <w:szCs w:val="28"/>
        </w:rPr>
        <w:t>Bjelovar</w:t>
      </w:r>
      <w:proofErr w:type="spellEnd"/>
      <w:r w:rsidR="00F919BB" w:rsidRPr="00572778">
        <w:rPr>
          <w:rFonts w:ascii="Times New Roman" w:hAnsi="Times New Roman" w:cs="Times New Roman"/>
          <w:sz w:val="28"/>
          <w:szCs w:val="28"/>
        </w:rPr>
        <w:t xml:space="preserve">, </w:t>
      </w:r>
      <w:r w:rsidR="00D23C91" w:rsidRPr="00572778">
        <w:rPr>
          <w:rFonts w:ascii="Times New Roman" w:hAnsi="Times New Roman" w:cs="Times New Roman"/>
          <w:sz w:val="28"/>
          <w:szCs w:val="28"/>
        </w:rPr>
        <w:t xml:space="preserve">dichiarando che non gli </w:t>
      </w:r>
      <w:r w:rsidR="00E43610">
        <w:rPr>
          <w:rFonts w:ascii="Times New Roman" w:hAnsi="Times New Roman" w:cs="Times New Roman"/>
          <w:sz w:val="28"/>
          <w:szCs w:val="28"/>
        </w:rPr>
        <w:t>era mai stata offerta</w:t>
      </w:r>
      <w:r w:rsidR="00D23C91" w:rsidRPr="00572778">
        <w:rPr>
          <w:rFonts w:ascii="Times New Roman" w:hAnsi="Times New Roman" w:cs="Times New Roman"/>
          <w:sz w:val="28"/>
          <w:szCs w:val="28"/>
        </w:rPr>
        <w:t xml:space="preserve"> l’opportunità di avere un incontro con i </w:t>
      </w:r>
      <w:r w:rsidR="00BF72D5" w:rsidRPr="00572778">
        <w:rPr>
          <w:rFonts w:ascii="Times New Roman" w:hAnsi="Times New Roman" w:cs="Times New Roman"/>
          <w:sz w:val="28"/>
          <w:szCs w:val="28"/>
        </w:rPr>
        <w:t xml:space="preserve">funzionari competenti, che la sua </w:t>
      </w:r>
      <w:r w:rsidR="00981D1A" w:rsidRPr="00572778">
        <w:rPr>
          <w:rFonts w:ascii="Times New Roman" w:hAnsi="Times New Roman" w:cs="Times New Roman"/>
          <w:sz w:val="28"/>
          <w:szCs w:val="28"/>
        </w:rPr>
        <w:t>richiesta di trasferimento era stata ignorata, e che il cibo del carcere era stato inadeguato.</w:t>
      </w:r>
    </w:p>
    <w:p w:rsidR="005A46A1" w:rsidRPr="0027736F" w:rsidRDefault="00981D1A"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ricorrente ha nuovamente reiterato la sua richiesta</w:t>
      </w:r>
      <w:r w:rsidR="00BC364A">
        <w:rPr>
          <w:rFonts w:ascii="Times New Roman" w:hAnsi="Times New Roman" w:cs="Times New Roman"/>
          <w:sz w:val="28"/>
          <w:szCs w:val="28"/>
        </w:rPr>
        <w:t xml:space="preserve"> </w:t>
      </w:r>
      <w:r w:rsidR="005A46A1" w:rsidRPr="00572778">
        <w:rPr>
          <w:rFonts w:ascii="Times New Roman" w:hAnsi="Times New Roman" w:cs="Times New Roman"/>
          <w:sz w:val="28"/>
          <w:szCs w:val="28"/>
        </w:rPr>
        <w:t xml:space="preserve">di trasferimento al carcere di </w:t>
      </w:r>
      <w:proofErr w:type="spellStart"/>
      <w:r w:rsidR="005A46A1" w:rsidRPr="0027736F">
        <w:rPr>
          <w:rFonts w:ascii="Times New Roman" w:hAnsi="Times New Roman" w:cs="Times New Roman"/>
          <w:sz w:val="28"/>
          <w:szCs w:val="28"/>
        </w:rPr>
        <w:t>Varaždin</w:t>
      </w:r>
      <w:proofErr w:type="spellEnd"/>
      <w:r w:rsidR="00BC364A">
        <w:rPr>
          <w:rFonts w:ascii="Times New Roman" w:hAnsi="Times New Roman" w:cs="Times New Roman"/>
          <w:sz w:val="28"/>
          <w:szCs w:val="28"/>
        </w:rPr>
        <w:t xml:space="preserve"> </w:t>
      </w:r>
      <w:r w:rsidR="00325F2B" w:rsidRPr="0027736F">
        <w:rPr>
          <w:rFonts w:ascii="Times New Roman" w:hAnsi="Times New Roman" w:cs="Times New Roman"/>
          <w:sz w:val="28"/>
          <w:szCs w:val="28"/>
        </w:rPr>
        <w:t>il 6 maggio 2010, adducendo motivi personali e familiari.</w:t>
      </w:r>
    </w:p>
    <w:p w:rsidR="00CC78C9" w:rsidRPr="00010089" w:rsidRDefault="00514874"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010089">
        <w:rPr>
          <w:rFonts w:ascii="Times New Roman" w:hAnsi="Times New Roman" w:cs="Times New Roman"/>
          <w:sz w:val="28"/>
          <w:szCs w:val="28"/>
        </w:rPr>
        <w:t>Il 4 luglio 2010 l’Amministrazione penitenziaria (Ministero Giustizia)</w:t>
      </w:r>
      <w:r w:rsidR="004C2089" w:rsidRPr="00010089">
        <w:rPr>
          <w:rFonts w:ascii="Times New Roman" w:hAnsi="Times New Roman" w:cs="Times New Roman"/>
          <w:sz w:val="28"/>
          <w:szCs w:val="28"/>
        </w:rPr>
        <w:t xml:space="preserve"> ha risposto alle lamentele del ricorrente, trovandole </w:t>
      </w:r>
      <w:r w:rsidR="00365D0B" w:rsidRPr="00010089">
        <w:rPr>
          <w:rFonts w:ascii="Times New Roman" w:hAnsi="Times New Roman" w:cs="Times New Roman"/>
          <w:sz w:val="28"/>
          <w:szCs w:val="28"/>
        </w:rPr>
        <w:t>in</w:t>
      </w:r>
      <w:r w:rsidR="004C2089" w:rsidRPr="00010089">
        <w:rPr>
          <w:rFonts w:ascii="Times New Roman" w:hAnsi="Times New Roman" w:cs="Times New Roman"/>
          <w:sz w:val="28"/>
          <w:szCs w:val="28"/>
        </w:rPr>
        <w:t>fondate da tutti i punti di vista.</w:t>
      </w:r>
      <w:r w:rsidR="00010089">
        <w:rPr>
          <w:rFonts w:ascii="Times New Roman" w:hAnsi="Times New Roman" w:cs="Times New Roman"/>
          <w:sz w:val="28"/>
          <w:szCs w:val="28"/>
        </w:rPr>
        <w:t xml:space="preserve"> </w:t>
      </w:r>
      <w:r w:rsidR="00F20C10" w:rsidRPr="00010089">
        <w:rPr>
          <w:rFonts w:ascii="Times New Roman" w:hAnsi="Times New Roman" w:cs="Times New Roman"/>
          <w:sz w:val="28"/>
          <w:szCs w:val="28"/>
        </w:rPr>
        <w:t xml:space="preserve">Essa ha sottolineato che </w:t>
      </w:r>
      <w:r w:rsidR="0027736F" w:rsidRPr="00010089">
        <w:rPr>
          <w:rFonts w:ascii="Times New Roman" w:hAnsi="Times New Roman" w:cs="Times New Roman"/>
          <w:sz w:val="28"/>
          <w:szCs w:val="28"/>
        </w:rPr>
        <w:t xml:space="preserve">gli </w:t>
      </w:r>
      <w:r w:rsidR="00F20C10" w:rsidRPr="00010089">
        <w:rPr>
          <w:rFonts w:ascii="Times New Roman" w:hAnsi="Times New Roman" w:cs="Times New Roman"/>
          <w:sz w:val="28"/>
          <w:szCs w:val="28"/>
        </w:rPr>
        <w:t>era stata data una sufficiente opportunità</w:t>
      </w:r>
      <w:r w:rsidR="0027736F" w:rsidRPr="00010089">
        <w:rPr>
          <w:rFonts w:ascii="Times New Roman" w:hAnsi="Times New Roman" w:cs="Times New Roman"/>
          <w:sz w:val="28"/>
          <w:szCs w:val="28"/>
        </w:rPr>
        <w:t xml:space="preserve"> di</w:t>
      </w:r>
      <w:r w:rsidR="00F20C10" w:rsidRPr="00010089">
        <w:rPr>
          <w:rFonts w:ascii="Times New Roman" w:hAnsi="Times New Roman" w:cs="Times New Roman"/>
          <w:sz w:val="28"/>
          <w:szCs w:val="28"/>
        </w:rPr>
        <w:t xml:space="preserve"> avere contatti con la </w:t>
      </w:r>
      <w:r w:rsidR="00CC78C9" w:rsidRPr="00010089">
        <w:rPr>
          <w:rFonts w:ascii="Times New Roman" w:hAnsi="Times New Roman" w:cs="Times New Roman"/>
          <w:sz w:val="28"/>
          <w:szCs w:val="28"/>
        </w:rPr>
        <w:t>sua</w:t>
      </w:r>
      <w:r w:rsidR="00F20C10" w:rsidRPr="00010089">
        <w:rPr>
          <w:rFonts w:ascii="Times New Roman" w:hAnsi="Times New Roman" w:cs="Times New Roman"/>
          <w:sz w:val="28"/>
          <w:szCs w:val="28"/>
        </w:rPr>
        <w:t xml:space="preserve"> famiglia, che non </w:t>
      </w:r>
      <w:r w:rsidR="0027736F" w:rsidRPr="00010089">
        <w:rPr>
          <w:rFonts w:ascii="Times New Roman" w:hAnsi="Times New Roman" w:cs="Times New Roman"/>
          <w:sz w:val="28"/>
          <w:szCs w:val="28"/>
        </w:rPr>
        <w:t>gli era stata offerta alcuna</w:t>
      </w:r>
      <w:r w:rsidR="00F20C10" w:rsidRPr="00010089">
        <w:rPr>
          <w:rFonts w:ascii="Times New Roman" w:hAnsi="Times New Roman" w:cs="Times New Roman"/>
          <w:sz w:val="28"/>
          <w:szCs w:val="28"/>
        </w:rPr>
        <w:t xml:space="preserve"> </w:t>
      </w:r>
      <w:r w:rsidR="0027736F" w:rsidRPr="00010089">
        <w:rPr>
          <w:rFonts w:ascii="Times New Roman" w:hAnsi="Times New Roman" w:cs="Times New Roman"/>
          <w:sz w:val="28"/>
          <w:szCs w:val="28"/>
        </w:rPr>
        <w:t xml:space="preserve">attività </w:t>
      </w:r>
      <w:r w:rsidR="00F20C10" w:rsidRPr="00010089">
        <w:rPr>
          <w:rFonts w:ascii="Times New Roman" w:hAnsi="Times New Roman" w:cs="Times New Roman"/>
          <w:sz w:val="28"/>
          <w:szCs w:val="28"/>
        </w:rPr>
        <w:t>lavor</w:t>
      </w:r>
      <w:r w:rsidR="0027736F" w:rsidRPr="00010089">
        <w:rPr>
          <w:rFonts w:ascii="Times New Roman" w:hAnsi="Times New Roman" w:cs="Times New Roman"/>
          <w:sz w:val="28"/>
          <w:szCs w:val="28"/>
        </w:rPr>
        <w:t>ativa</w:t>
      </w:r>
      <w:r w:rsidR="00F20C10" w:rsidRPr="00010089">
        <w:rPr>
          <w:rFonts w:ascii="Times New Roman" w:hAnsi="Times New Roman" w:cs="Times New Roman"/>
          <w:sz w:val="28"/>
          <w:szCs w:val="28"/>
        </w:rPr>
        <w:t xml:space="preserve"> </w:t>
      </w:r>
      <w:r w:rsidR="00DE2B0B" w:rsidRPr="00010089">
        <w:rPr>
          <w:rFonts w:ascii="Times New Roman" w:hAnsi="Times New Roman" w:cs="Times New Roman"/>
          <w:sz w:val="28"/>
          <w:szCs w:val="28"/>
        </w:rPr>
        <w:t>a causa del</w:t>
      </w:r>
      <w:r w:rsidR="00F20C10" w:rsidRPr="00010089">
        <w:rPr>
          <w:rFonts w:ascii="Times New Roman" w:hAnsi="Times New Roman" w:cs="Times New Roman"/>
          <w:sz w:val="28"/>
          <w:szCs w:val="28"/>
        </w:rPr>
        <w:t xml:space="preserve"> numero insufficiente di posizioni lavorative nel carcere di </w:t>
      </w:r>
      <w:proofErr w:type="spellStart"/>
      <w:r w:rsidR="00F20C10" w:rsidRPr="00010089">
        <w:rPr>
          <w:rFonts w:ascii="Times New Roman" w:hAnsi="Times New Roman" w:cs="Times New Roman"/>
          <w:sz w:val="28"/>
          <w:szCs w:val="28"/>
        </w:rPr>
        <w:t>Bjelovar</w:t>
      </w:r>
      <w:proofErr w:type="spellEnd"/>
      <w:r w:rsidR="00F20C10" w:rsidRPr="00010089">
        <w:rPr>
          <w:rFonts w:ascii="Times New Roman" w:hAnsi="Times New Roman" w:cs="Times New Roman"/>
          <w:sz w:val="28"/>
          <w:szCs w:val="28"/>
        </w:rPr>
        <w:t xml:space="preserve">, che egli aveva avuto sette incontri con il direttore del carcere e 25 incontri con vari altri </w:t>
      </w:r>
      <w:r w:rsidR="0027736F" w:rsidRPr="00010089">
        <w:rPr>
          <w:rFonts w:ascii="Times New Roman" w:hAnsi="Times New Roman" w:cs="Times New Roman"/>
          <w:sz w:val="28"/>
          <w:szCs w:val="28"/>
        </w:rPr>
        <w:t>operatori</w:t>
      </w:r>
      <w:r w:rsidR="00F20C10" w:rsidRPr="00010089">
        <w:rPr>
          <w:rFonts w:ascii="Times New Roman" w:hAnsi="Times New Roman" w:cs="Times New Roman"/>
          <w:sz w:val="28"/>
          <w:szCs w:val="28"/>
        </w:rPr>
        <w:t xml:space="preserve"> del carcere di </w:t>
      </w:r>
      <w:proofErr w:type="spellStart"/>
      <w:r w:rsidR="00F20C10" w:rsidRPr="00010089">
        <w:rPr>
          <w:rFonts w:ascii="Times New Roman" w:hAnsi="Times New Roman" w:cs="Times New Roman"/>
          <w:sz w:val="28"/>
          <w:szCs w:val="28"/>
        </w:rPr>
        <w:t>Bjelovar</w:t>
      </w:r>
      <w:proofErr w:type="spellEnd"/>
      <w:r w:rsidR="00F20C10" w:rsidRPr="00010089">
        <w:rPr>
          <w:rFonts w:ascii="Times New Roman" w:hAnsi="Times New Roman" w:cs="Times New Roman"/>
          <w:sz w:val="28"/>
          <w:szCs w:val="28"/>
        </w:rPr>
        <w:t xml:space="preserve">, e che il cibo era stato preparato </w:t>
      </w:r>
      <w:r w:rsidR="00DE2B0B" w:rsidRPr="00010089">
        <w:rPr>
          <w:rFonts w:ascii="Times New Roman" w:hAnsi="Times New Roman" w:cs="Times New Roman"/>
          <w:sz w:val="28"/>
          <w:szCs w:val="28"/>
        </w:rPr>
        <w:t xml:space="preserve">in collaborazione </w:t>
      </w:r>
      <w:r w:rsidR="00F20C10" w:rsidRPr="00010089">
        <w:rPr>
          <w:rFonts w:ascii="Times New Roman" w:hAnsi="Times New Roman" w:cs="Times New Roman"/>
          <w:sz w:val="28"/>
          <w:szCs w:val="28"/>
        </w:rPr>
        <w:t>con gli</w:t>
      </w:r>
      <w:r w:rsidR="00072D94" w:rsidRPr="00010089">
        <w:rPr>
          <w:rFonts w:ascii="Times New Roman" w:hAnsi="Times New Roman" w:cs="Times New Roman"/>
          <w:sz w:val="28"/>
          <w:szCs w:val="28"/>
        </w:rPr>
        <w:t xml:space="preserve"> e</w:t>
      </w:r>
      <w:r w:rsidR="00F20C10" w:rsidRPr="00010089">
        <w:rPr>
          <w:rFonts w:ascii="Times New Roman" w:hAnsi="Times New Roman" w:cs="Times New Roman"/>
          <w:sz w:val="28"/>
          <w:szCs w:val="28"/>
        </w:rPr>
        <w:t>sper</w:t>
      </w:r>
      <w:r w:rsidR="00072D94" w:rsidRPr="00010089">
        <w:rPr>
          <w:rFonts w:ascii="Times New Roman" w:hAnsi="Times New Roman" w:cs="Times New Roman"/>
          <w:sz w:val="28"/>
          <w:szCs w:val="28"/>
        </w:rPr>
        <w:t xml:space="preserve">ti, </w:t>
      </w:r>
      <w:r w:rsidR="007511BA" w:rsidRPr="00010089">
        <w:rPr>
          <w:rFonts w:ascii="Times New Roman" w:hAnsi="Times New Roman" w:cs="Times New Roman"/>
          <w:sz w:val="28"/>
          <w:szCs w:val="28"/>
        </w:rPr>
        <w:t>essendo stato</w:t>
      </w:r>
      <w:r w:rsidR="00BC364A" w:rsidRPr="00010089">
        <w:rPr>
          <w:rFonts w:ascii="Times New Roman" w:hAnsi="Times New Roman" w:cs="Times New Roman"/>
          <w:sz w:val="28"/>
          <w:szCs w:val="28"/>
        </w:rPr>
        <w:t xml:space="preserve"> </w:t>
      </w:r>
      <w:r w:rsidR="00072D94" w:rsidRPr="00010089">
        <w:rPr>
          <w:rFonts w:ascii="Times New Roman" w:hAnsi="Times New Roman" w:cs="Times New Roman"/>
          <w:sz w:val="28"/>
          <w:szCs w:val="28"/>
        </w:rPr>
        <w:t xml:space="preserve">il regime </w:t>
      </w:r>
      <w:r w:rsidR="00CD0E49" w:rsidRPr="00010089">
        <w:rPr>
          <w:rFonts w:ascii="Times New Roman" w:hAnsi="Times New Roman" w:cs="Times New Roman"/>
          <w:sz w:val="28"/>
          <w:szCs w:val="28"/>
        </w:rPr>
        <w:t>alimentare</w:t>
      </w:r>
      <w:r w:rsidR="00072D94" w:rsidRPr="00010089">
        <w:rPr>
          <w:rFonts w:ascii="Times New Roman" w:hAnsi="Times New Roman" w:cs="Times New Roman"/>
          <w:sz w:val="28"/>
          <w:szCs w:val="28"/>
        </w:rPr>
        <w:t xml:space="preserve"> in carcere continuamente controllato dal medico del carcere.</w:t>
      </w:r>
    </w:p>
    <w:p w:rsidR="00CC78C9" w:rsidRPr="00572778" w:rsidRDefault="00CC78C9"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24 agosto 2010 il ricorrente si è lamentato delle condizioni</w:t>
      </w:r>
      <w:r w:rsidR="00677AED" w:rsidRPr="00572778">
        <w:rPr>
          <w:rFonts w:ascii="Times New Roman" w:hAnsi="Times New Roman" w:cs="Times New Roman"/>
          <w:sz w:val="28"/>
          <w:szCs w:val="28"/>
        </w:rPr>
        <w:t xml:space="preserve"> della sua detenzione </w:t>
      </w:r>
      <w:r w:rsidR="00DD2678">
        <w:rPr>
          <w:rFonts w:ascii="Times New Roman" w:hAnsi="Times New Roman" w:cs="Times New Roman"/>
          <w:sz w:val="28"/>
          <w:szCs w:val="28"/>
        </w:rPr>
        <w:t>con il</w:t>
      </w:r>
      <w:r w:rsidR="00677AED" w:rsidRPr="00572778">
        <w:rPr>
          <w:rFonts w:ascii="Times New Roman" w:hAnsi="Times New Roman" w:cs="Times New Roman"/>
          <w:sz w:val="28"/>
          <w:szCs w:val="28"/>
        </w:rPr>
        <w:t xml:space="preserve"> </w:t>
      </w:r>
      <w:r w:rsidR="00AA6F62">
        <w:rPr>
          <w:rFonts w:ascii="Times New Roman" w:hAnsi="Times New Roman" w:cs="Times New Roman"/>
          <w:sz w:val="28"/>
          <w:szCs w:val="28"/>
        </w:rPr>
        <w:t xml:space="preserve">giudice </w:t>
      </w:r>
      <w:r w:rsidR="005E5B66">
        <w:rPr>
          <w:rFonts w:ascii="Times New Roman" w:hAnsi="Times New Roman" w:cs="Times New Roman"/>
          <w:sz w:val="28"/>
          <w:szCs w:val="28"/>
        </w:rPr>
        <w:t>dell</w:t>
      </w:r>
      <w:r w:rsidR="00677AED" w:rsidRPr="00572778">
        <w:rPr>
          <w:rFonts w:ascii="Times New Roman" w:hAnsi="Times New Roman" w:cs="Times New Roman"/>
          <w:sz w:val="28"/>
          <w:szCs w:val="28"/>
        </w:rPr>
        <w:t xml:space="preserve">’esecuzione </w:t>
      </w:r>
      <w:r w:rsidR="005E5B66">
        <w:rPr>
          <w:rFonts w:ascii="Times New Roman" w:hAnsi="Times New Roman" w:cs="Times New Roman"/>
          <w:sz w:val="28"/>
          <w:szCs w:val="28"/>
        </w:rPr>
        <w:t>penale</w:t>
      </w:r>
      <w:r w:rsidR="00D8371F">
        <w:rPr>
          <w:rFonts w:ascii="Times New Roman" w:hAnsi="Times New Roman" w:cs="Times New Roman"/>
          <w:sz w:val="28"/>
          <w:szCs w:val="28"/>
        </w:rPr>
        <w:t xml:space="preserve"> della Corte</w:t>
      </w:r>
      <w:r w:rsidR="00677AED" w:rsidRPr="00572778">
        <w:rPr>
          <w:rFonts w:ascii="Times New Roman" w:hAnsi="Times New Roman" w:cs="Times New Roman"/>
          <w:sz w:val="28"/>
          <w:szCs w:val="28"/>
        </w:rPr>
        <w:t xml:space="preserve"> della Contea di </w:t>
      </w:r>
      <w:proofErr w:type="spellStart"/>
      <w:r w:rsidR="00677AED" w:rsidRPr="00572778">
        <w:rPr>
          <w:rFonts w:ascii="Times New Roman" w:hAnsi="Times New Roman" w:cs="Times New Roman"/>
          <w:sz w:val="28"/>
          <w:szCs w:val="28"/>
        </w:rPr>
        <w:t>Bjelovar</w:t>
      </w:r>
      <w:proofErr w:type="spellEnd"/>
      <w:r w:rsidR="00677AED" w:rsidRPr="00572778">
        <w:rPr>
          <w:rFonts w:ascii="Times New Roman" w:hAnsi="Times New Roman" w:cs="Times New Roman"/>
          <w:sz w:val="28"/>
          <w:szCs w:val="28"/>
        </w:rPr>
        <w:t>. Egli ha sottolineato</w:t>
      </w:r>
      <w:r w:rsidR="00BC364A">
        <w:rPr>
          <w:rFonts w:ascii="Times New Roman" w:hAnsi="Times New Roman" w:cs="Times New Roman"/>
          <w:sz w:val="28"/>
          <w:szCs w:val="28"/>
        </w:rPr>
        <w:t xml:space="preserve"> </w:t>
      </w:r>
      <w:r w:rsidR="00F43EE4">
        <w:rPr>
          <w:rFonts w:ascii="Times New Roman" w:hAnsi="Times New Roman" w:cs="Times New Roman"/>
          <w:sz w:val="28"/>
          <w:szCs w:val="28"/>
        </w:rPr>
        <w:t xml:space="preserve">che </w:t>
      </w:r>
      <w:r w:rsidR="00DD2678">
        <w:rPr>
          <w:rFonts w:ascii="Times New Roman" w:hAnsi="Times New Roman" w:cs="Times New Roman"/>
          <w:sz w:val="28"/>
          <w:szCs w:val="28"/>
        </w:rPr>
        <w:t>la sua principale</w:t>
      </w:r>
      <w:r w:rsidR="0015466A">
        <w:rPr>
          <w:rFonts w:ascii="Times New Roman" w:hAnsi="Times New Roman" w:cs="Times New Roman"/>
          <w:sz w:val="28"/>
          <w:szCs w:val="28"/>
        </w:rPr>
        <w:t xml:space="preserve"> </w:t>
      </w:r>
      <w:r w:rsidR="00DD2678">
        <w:rPr>
          <w:rFonts w:ascii="Times New Roman" w:hAnsi="Times New Roman" w:cs="Times New Roman"/>
          <w:sz w:val="28"/>
          <w:szCs w:val="28"/>
        </w:rPr>
        <w:t>lamentela consisteva nel</w:t>
      </w:r>
      <w:r w:rsidR="00DF73C0" w:rsidRPr="00572778">
        <w:rPr>
          <w:rFonts w:ascii="Times New Roman" w:hAnsi="Times New Roman" w:cs="Times New Roman"/>
          <w:sz w:val="28"/>
          <w:szCs w:val="28"/>
        </w:rPr>
        <w:t xml:space="preserve"> suo desiderio di essere trasferito </w:t>
      </w:r>
      <w:r w:rsidR="00DD2678">
        <w:rPr>
          <w:rFonts w:ascii="Times New Roman" w:hAnsi="Times New Roman" w:cs="Times New Roman"/>
          <w:sz w:val="28"/>
          <w:szCs w:val="28"/>
        </w:rPr>
        <w:t>in</w:t>
      </w:r>
      <w:r w:rsidR="00DF73C0" w:rsidRPr="00572778">
        <w:rPr>
          <w:rFonts w:ascii="Times New Roman" w:hAnsi="Times New Roman" w:cs="Times New Roman"/>
          <w:sz w:val="28"/>
          <w:szCs w:val="28"/>
        </w:rPr>
        <w:t xml:space="preserve"> un altro carcere più vicino alla sua famiglia. Si è anche lamentato, </w:t>
      </w:r>
      <w:r w:rsidR="00DF73C0" w:rsidRPr="00567B83">
        <w:rPr>
          <w:rFonts w:ascii="Times New Roman" w:hAnsi="Times New Roman" w:cs="Times New Roman"/>
          <w:sz w:val="28"/>
          <w:szCs w:val="28"/>
        </w:rPr>
        <w:t>tra le altre cose</w:t>
      </w:r>
      <w:r w:rsidR="00DF73C0" w:rsidRPr="00572778">
        <w:rPr>
          <w:rFonts w:ascii="Times New Roman" w:hAnsi="Times New Roman" w:cs="Times New Roman"/>
          <w:sz w:val="28"/>
          <w:szCs w:val="28"/>
        </w:rPr>
        <w:t xml:space="preserve">, che </w:t>
      </w:r>
      <w:r w:rsidR="00DF4C07">
        <w:rPr>
          <w:rFonts w:ascii="Times New Roman" w:hAnsi="Times New Roman" w:cs="Times New Roman"/>
          <w:sz w:val="28"/>
          <w:szCs w:val="28"/>
        </w:rPr>
        <w:t xml:space="preserve">non era stato </w:t>
      </w:r>
      <w:r w:rsidR="00873FF4">
        <w:rPr>
          <w:rFonts w:ascii="Times New Roman" w:hAnsi="Times New Roman" w:cs="Times New Roman"/>
          <w:sz w:val="28"/>
          <w:szCs w:val="28"/>
        </w:rPr>
        <w:t xml:space="preserve">dato </w:t>
      </w:r>
      <w:r w:rsidR="00DD2678">
        <w:rPr>
          <w:rFonts w:ascii="Times New Roman" w:hAnsi="Times New Roman" w:cs="Times New Roman"/>
          <w:sz w:val="28"/>
          <w:szCs w:val="28"/>
        </w:rPr>
        <w:t>riscontro</w:t>
      </w:r>
      <w:r w:rsidR="00DF4C07">
        <w:rPr>
          <w:rFonts w:ascii="Times New Roman" w:hAnsi="Times New Roman" w:cs="Times New Roman"/>
          <w:sz w:val="28"/>
          <w:szCs w:val="28"/>
        </w:rPr>
        <w:t xml:space="preserve"> alla </w:t>
      </w:r>
      <w:r w:rsidR="00DF73C0" w:rsidRPr="00572778">
        <w:rPr>
          <w:rFonts w:ascii="Times New Roman" w:hAnsi="Times New Roman" w:cs="Times New Roman"/>
          <w:sz w:val="28"/>
          <w:szCs w:val="28"/>
        </w:rPr>
        <w:t xml:space="preserve">sua richiesta di </w:t>
      </w:r>
      <w:r w:rsidR="00DF4C07">
        <w:rPr>
          <w:rFonts w:ascii="Times New Roman" w:hAnsi="Times New Roman" w:cs="Times New Roman"/>
          <w:sz w:val="28"/>
          <w:szCs w:val="28"/>
        </w:rPr>
        <w:t>essere occupato</w:t>
      </w:r>
      <w:r w:rsidR="00DF73C0" w:rsidRPr="00572778">
        <w:rPr>
          <w:rFonts w:ascii="Times New Roman" w:hAnsi="Times New Roman" w:cs="Times New Roman"/>
          <w:sz w:val="28"/>
          <w:szCs w:val="28"/>
        </w:rPr>
        <w:t xml:space="preserve"> nel lavoro penitenziario, e che egli era detenuto con altri 7 detenuti nella cella n.8, che misurava 18 metri quadri in totale ed era inadeguatamente attrezzata e mantenuta.</w:t>
      </w:r>
    </w:p>
    <w:p w:rsidR="00DF73C0" w:rsidRPr="00572778" w:rsidRDefault="007A2B13"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A seguito del</w:t>
      </w:r>
      <w:r w:rsidR="00360941">
        <w:rPr>
          <w:rFonts w:ascii="Times New Roman" w:hAnsi="Times New Roman" w:cs="Times New Roman"/>
          <w:sz w:val="28"/>
          <w:szCs w:val="28"/>
        </w:rPr>
        <w:t>la lamentela</w:t>
      </w:r>
      <w:r w:rsidR="00DF73C0" w:rsidRPr="00572778">
        <w:rPr>
          <w:rFonts w:ascii="Times New Roman" w:hAnsi="Times New Roman" w:cs="Times New Roman"/>
          <w:sz w:val="28"/>
          <w:szCs w:val="28"/>
        </w:rPr>
        <w:t xml:space="preserve"> del ricorrente, il giudice </w:t>
      </w:r>
      <w:r w:rsidR="005E5B66">
        <w:rPr>
          <w:rFonts w:ascii="Times New Roman" w:hAnsi="Times New Roman" w:cs="Times New Roman"/>
          <w:sz w:val="28"/>
          <w:szCs w:val="28"/>
        </w:rPr>
        <w:t xml:space="preserve">dell’esecuzione </w:t>
      </w:r>
      <w:r w:rsidR="00B245A5">
        <w:rPr>
          <w:rFonts w:ascii="Times New Roman" w:hAnsi="Times New Roman" w:cs="Times New Roman"/>
          <w:sz w:val="28"/>
          <w:szCs w:val="28"/>
        </w:rPr>
        <w:t>pena</w:t>
      </w:r>
      <w:r w:rsidR="005E5B66">
        <w:rPr>
          <w:rFonts w:ascii="Times New Roman" w:hAnsi="Times New Roman" w:cs="Times New Roman"/>
          <w:sz w:val="28"/>
          <w:szCs w:val="28"/>
        </w:rPr>
        <w:t>le</w:t>
      </w:r>
      <w:r w:rsidR="00DF73C0" w:rsidRPr="00572778">
        <w:rPr>
          <w:rFonts w:ascii="Times New Roman" w:hAnsi="Times New Roman" w:cs="Times New Roman"/>
          <w:sz w:val="28"/>
          <w:szCs w:val="28"/>
        </w:rPr>
        <w:t xml:space="preserve"> ha ch</w:t>
      </w:r>
      <w:r w:rsidR="002E43ED">
        <w:rPr>
          <w:rFonts w:ascii="Times New Roman" w:hAnsi="Times New Roman" w:cs="Times New Roman"/>
          <w:sz w:val="28"/>
          <w:szCs w:val="28"/>
        </w:rPr>
        <w:t>iesto un rapporto dettagliato de</w:t>
      </w:r>
      <w:r w:rsidR="00DF73C0" w:rsidRPr="00572778">
        <w:rPr>
          <w:rFonts w:ascii="Times New Roman" w:hAnsi="Times New Roman" w:cs="Times New Roman"/>
          <w:sz w:val="28"/>
          <w:szCs w:val="28"/>
        </w:rPr>
        <w:t xml:space="preserve">l carcere di </w:t>
      </w:r>
      <w:proofErr w:type="spellStart"/>
      <w:r w:rsidR="00DF73C0" w:rsidRPr="00572778">
        <w:rPr>
          <w:rFonts w:ascii="Times New Roman" w:hAnsi="Times New Roman" w:cs="Times New Roman"/>
          <w:sz w:val="28"/>
          <w:szCs w:val="28"/>
        </w:rPr>
        <w:t>Bjelovar</w:t>
      </w:r>
      <w:proofErr w:type="spellEnd"/>
      <w:r w:rsidR="00DF73C0" w:rsidRPr="00572778">
        <w:rPr>
          <w:rFonts w:ascii="Times New Roman" w:hAnsi="Times New Roman" w:cs="Times New Roman"/>
          <w:sz w:val="28"/>
          <w:szCs w:val="28"/>
        </w:rPr>
        <w:t xml:space="preserve"> relativamente alle condizioni della sua detenzione.</w:t>
      </w:r>
    </w:p>
    <w:p w:rsidR="00DF73C0" w:rsidRPr="00572778" w:rsidRDefault="00DF73C0"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Dopo aver ottenuto il relativo rapporto ed </w:t>
      </w:r>
      <w:r w:rsidR="00C53CAE">
        <w:rPr>
          <w:rFonts w:ascii="Times New Roman" w:hAnsi="Times New Roman" w:cs="Times New Roman"/>
          <w:sz w:val="28"/>
          <w:szCs w:val="28"/>
        </w:rPr>
        <w:t xml:space="preserve">aver </w:t>
      </w:r>
      <w:r w:rsidRPr="00572778">
        <w:rPr>
          <w:rFonts w:ascii="Times New Roman" w:hAnsi="Times New Roman" w:cs="Times New Roman"/>
          <w:sz w:val="28"/>
          <w:szCs w:val="28"/>
        </w:rPr>
        <w:t>ascolta</w:t>
      </w:r>
      <w:r w:rsidR="00C53CAE">
        <w:rPr>
          <w:rFonts w:ascii="Times New Roman" w:hAnsi="Times New Roman" w:cs="Times New Roman"/>
          <w:sz w:val="28"/>
          <w:szCs w:val="28"/>
        </w:rPr>
        <w:t>to</w:t>
      </w:r>
      <w:r w:rsidRPr="00572778">
        <w:rPr>
          <w:rFonts w:ascii="Times New Roman" w:hAnsi="Times New Roman" w:cs="Times New Roman"/>
          <w:sz w:val="28"/>
          <w:szCs w:val="28"/>
        </w:rPr>
        <w:t xml:space="preserve"> personalmente il ricorrente, il 7 ottobre 2010 il giudice </w:t>
      </w:r>
      <w:r w:rsidR="005E5B66">
        <w:rPr>
          <w:rFonts w:ascii="Times New Roman" w:hAnsi="Times New Roman" w:cs="Times New Roman"/>
          <w:sz w:val="28"/>
          <w:szCs w:val="28"/>
        </w:rPr>
        <w:t xml:space="preserve">dell’esecuzione </w:t>
      </w:r>
      <w:r w:rsidR="00B245A5">
        <w:rPr>
          <w:rFonts w:ascii="Times New Roman" w:hAnsi="Times New Roman" w:cs="Times New Roman"/>
          <w:sz w:val="28"/>
          <w:szCs w:val="28"/>
        </w:rPr>
        <w:t>pena</w:t>
      </w:r>
      <w:r w:rsidR="005E5B66">
        <w:rPr>
          <w:rFonts w:ascii="Times New Roman" w:hAnsi="Times New Roman" w:cs="Times New Roman"/>
          <w:sz w:val="28"/>
          <w:szCs w:val="28"/>
        </w:rPr>
        <w:t>le</w:t>
      </w:r>
      <w:r w:rsidR="00ED3616" w:rsidRPr="00572778">
        <w:rPr>
          <w:rFonts w:ascii="Times New Roman" w:hAnsi="Times New Roman" w:cs="Times New Roman"/>
          <w:sz w:val="28"/>
          <w:szCs w:val="28"/>
        </w:rPr>
        <w:t xml:space="preserve"> ha re</w:t>
      </w:r>
      <w:r w:rsidR="00333AE9" w:rsidRPr="00572778">
        <w:rPr>
          <w:rFonts w:ascii="Times New Roman" w:hAnsi="Times New Roman" w:cs="Times New Roman"/>
          <w:sz w:val="28"/>
          <w:szCs w:val="28"/>
        </w:rPr>
        <w:t xml:space="preserve">spinto le sue lagnanze come infondate. </w:t>
      </w:r>
      <w:r w:rsidR="00A77D04">
        <w:rPr>
          <w:rFonts w:ascii="Times New Roman" w:hAnsi="Times New Roman" w:cs="Times New Roman"/>
          <w:sz w:val="28"/>
          <w:szCs w:val="28"/>
        </w:rPr>
        <w:t xml:space="preserve">Egli </w:t>
      </w:r>
      <w:r w:rsidR="004362B2">
        <w:rPr>
          <w:rFonts w:ascii="Times New Roman" w:hAnsi="Times New Roman" w:cs="Times New Roman"/>
          <w:sz w:val="28"/>
          <w:szCs w:val="28"/>
        </w:rPr>
        <w:t xml:space="preserve">ha </w:t>
      </w:r>
      <w:r w:rsidR="00A77D04">
        <w:rPr>
          <w:rFonts w:ascii="Times New Roman" w:hAnsi="Times New Roman" w:cs="Times New Roman"/>
          <w:sz w:val="28"/>
          <w:szCs w:val="28"/>
        </w:rPr>
        <w:t>riten</w:t>
      </w:r>
      <w:r w:rsidR="004362B2">
        <w:rPr>
          <w:rFonts w:ascii="Times New Roman" w:hAnsi="Times New Roman" w:cs="Times New Roman"/>
          <w:sz w:val="28"/>
          <w:szCs w:val="28"/>
        </w:rPr>
        <w:t>uto</w:t>
      </w:r>
      <w:r w:rsidR="00333AE9" w:rsidRPr="00572778">
        <w:rPr>
          <w:rFonts w:ascii="Times New Roman" w:hAnsi="Times New Roman" w:cs="Times New Roman"/>
          <w:sz w:val="28"/>
          <w:szCs w:val="28"/>
        </w:rPr>
        <w:t>, in</w:t>
      </w:r>
      <w:r w:rsidR="00BC364A">
        <w:rPr>
          <w:rFonts w:ascii="Times New Roman" w:hAnsi="Times New Roman" w:cs="Times New Roman"/>
          <w:sz w:val="28"/>
          <w:szCs w:val="28"/>
        </w:rPr>
        <w:t xml:space="preserve"> </w:t>
      </w:r>
      <w:r w:rsidR="00333AE9" w:rsidRPr="00572778">
        <w:rPr>
          <w:rFonts w:ascii="Times New Roman" w:hAnsi="Times New Roman" w:cs="Times New Roman"/>
          <w:sz w:val="28"/>
          <w:szCs w:val="28"/>
        </w:rPr>
        <w:t>particolare, che il ricorrente non era detenuto in condizioni di detenzione inadeguate, che egli era fornito di sufficienti servizi sanitari e</w:t>
      </w:r>
      <w:r w:rsidR="009F3C86">
        <w:rPr>
          <w:rFonts w:ascii="Times New Roman" w:hAnsi="Times New Roman" w:cs="Times New Roman"/>
          <w:sz w:val="28"/>
          <w:szCs w:val="28"/>
        </w:rPr>
        <w:t>d</w:t>
      </w:r>
      <w:r w:rsidR="00BC364A">
        <w:rPr>
          <w:rFonts w:ascii="Times New Roman" w:hAnsi="Times New Roman" w:cs="Times New Roman"/>
          <w:sz w:val="28"/>
          <w:szCs w:val="28"/>
        </w:rPr>
        <w:t xml:space="preserve"> </w:t>
      </w:r>
      <w:r w:rsidR="009F3C86">
        <w:rPr>
          <w:rFonts w:ascii="Times New Roman" w:hAnsi="Times New Roman" w:cs="Times New Roman"/>
          <w:sz w:val="28"/>
          <w:szCs w:val="28"/>
        </w:rPr>
        <w:t>igienici</w:t>
      </w:r>
      <w:r w:rsidR="00333AE9" w:rsidRPr="00572778">
        <w:rPr>
          <w:rFonts w:ascii="Times New Roman" w:hAnsi="Times New Roman" w:cs="Times New Roman"/>
          <w:sz w:val="28"/>
          <w:szCs w:val="28"/>
        </w:rPr>
        <w:t xml:space="preserve">, e che non era </w:t>
      </w:r>
      <w:r w:rsidR="009F3C86">
        <w:rPr>
          <w:rFonts w:ascii="Times New Roman" w:hAnsi="Times New Roman" w:cs="Times New Roman"/>
          <w:sz w:val="28"/>
          <w:szCs w:val="28"/>
        </w:rPr>
        <w:t>stato impiegato</w:t>
      </w:r>
      <w:r w:rsidR="00333AE9" w:rsidRPr="00572778">
        <w:rPr>
          <w:rFonts w:ascii="Times New Roman" w:hAnsi="Times New Roman" w:cs="Times New Roman"/>
          <w:sz w:val="28"/>
          <w:szCs w:val="28"/>
        </w:rPr>
        <w:t xml:space="preserve"> nel lavoro penitenziario dato che tali opportunità non esistevano per tutti i detenuti nel carcere di </w:t>
      </w:r>
      <w:proofErr w:type="spellStart"/>
      <w:r w:rsidR="00333AE9" w:rsidRPr="00572778">
        <w:rPr>
          <w:rFonts w:ascii="Times New Roman" w:hAnsi="Times New Roman" w:cs="Times New Roman"/>
          <w:sz w:val="28"/>
          <w:szCs w:val="28"/>
        </w:rPr>
        <w:t>Bjelovar</w:t>
      </w:r>
      <w:proofErr w:type="spellEnd"/>
      <w:r w:rsidR="00333AE9" w:rsidRPr="00572778">
        <w:rPr>
          <w:rFonts w:ascii="Times New Roman" w:hAnsi="Times New Roman" w:cs="Times New Roman"/>
          <w:sz w:val="28"/>
          <w:szCs w:val="28"/>
        </w:rPr>
        <w:t>.</w:t>
      </w:r>
    </w:p>
    <w:p w:rsidR="00333AE9" w:rsidRPr="00572778" w:rsidRDefault="00333AE9"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15 ottobre 2010 il ricorrente ha presentato un ricorso contro la decisione del</w:t>
      </w:r>
      <w:r w:rsidR="005E5B66">
        <w:rPr>
          <w:rFonts w:ascii="Times New Roman" w:hAnsi="Times New Roman" w:cs="Times New Roman"/>
          <w:sz w:val="28"/>
          <w:szCs w:val="28"/>
        </w:rPr>
        <w:t xml:space="preserve"> giudice</w:t>
      </w:r>
      <w:r w:rsidRPr="00572778">
        <w:rPr>
          <w:rFonts w:ascii="Times New Roman" w:hAnsi="Times New Roman" w:cs="Times New Roman"/>
          <w:sz w:val="28"/>
          <w:szCs w:val="28"/>
        </w:rPr>
        <w:t xml:space="preserve"> </w:t>
      </w:r>
      <w:r w:rsidR="005E5B66">
        <w:rPr>
          <w:rFonts w:ascii="Times New Roman" w:hAnsi="Times New Roman" w:cs="Times New Roman"/>
          <w:sz w:val="28"/>
          <w:szCs w:val="28"/>
        </w:rPr>
        <w:t>dell’</w:t>
      </w:r>
      <w:r w:rsidRPr="00572778">
        <w:rPr>
          <w:rFonts w:ascii="Times New Roman" w:hAnsi="Times New Roman" w:cs="Times New Roman"/>
          <w:sz w:val="28"/>
          <w:szCs w:val="28"/>
        </w:rPr>
        <w:t xml:space="preserve">esecuzione </w:t>
      </w:r>
      <w:r w:rsidR="003E0C2A">
        <w:rPr>
          <w:rFonts w:ascii="Times New Roman" w:hAnsi="Times New Roman" w:cs="Times New Roman"/>
          <w:sz w:val="28"/>
          <w:szCs w:val="28"/>
        </w:rPr>
        <w:t>pen</w:t>
      </w:r>
      <w:r w:rsidR="005E5B66">
        <w:rPr>
          <w:rFonts w:ascii="Times New Roman" w:hAnsi="Times New Roman" w:cs="Times New Roman"/>
          <w:sz w:val="28"/>
          <w:szCs w:val="28"/>
        </w:rPr>
        <w:t>al</w:t>
      </w:r>
      <w:r w:rsidR="003E0C2A">
        <w:rPr>
          <w:rFonts w:ascii="Times New Roman" w:hAnsi="Times New Roman" w:cs="Times New Roman"/>
          <w:sz w:val="28"/>
          <w:szCs w:val="28"/>
        </w:rPr>
        <w:t>e</w:t>
      </w:r>
      <w:r w:rsidRPr="00572778">
        <w:rPr>
          <w:rFonts w:ascii="Times New Roman" w:hAnsi="Times New Roman" w:cs="Times New Roman"/>
          <w:sz w:val="28"/>
          <w:szCs w:val="28"/>
        </w:rPr>
        <w:t xml:space="preserve"> </w:t>
      </w:r>
      <w:r w:rsidR="00B410C0">
        <w:rPr>
          <w:rFonts w:ascii="Times New Roman" w:hAnsi="Times New Roman" w:cs="Times New Roman"/>
          <w:sz w:val="28"/>
          <w:szCs w:val="28"/>
        </w:rPr>
        <w:t>ad</w:t>
      </w:r>
      <w:r w:rsidRPr="00572778">
        <w:rPr>
          <w:rFonts w:ascii="Times New Roman" w:hAnsi="Times New Roman" w:cs="Times New Roman"/>
          <w:sz w:val="28"/>
          <w:szCs w:val="28"/>
        </w:rPr>
        <w:t xml:space="preserve"> un collegio di 3 giudici </w:t>
      </w:r>
      <w:r w:rsidR="00D8371F">
        <w:rPr>
          <w:rFonts w:ascii="Times New Roman" w:hAnsi="Times New Roman" w:cs="Times New Roman"/>
          <w:sz w:val="28"/>
          <w:szCs w:val="28"/>
        </w:rPr>
        <w:t>della</w:t>
      </w:r>
      <w:r w:rsidRPr="00572778">
        <w:rPr>
          <w:rFonts w:ascii="Times New Roman" w:hAnsi="Times New Roman" w:cs="Times New Roman"/>
          <w:sz w:val="28"/>
          <w:szCs w:val="28"/>
        </w:rPr>
        <w:t xml:space="preserve"> </w:t>
      </w:r>
      <w:r w:rsidR="00D8371F">
        <w:rPr>
          <w:rFonts w:ascii="Times New Roman" w:hAnsi="Times New Roman" w:cs="Times New Roman"/>
          <w:sz w:val="28"/>
          <w:szCs w:val="28"/>
        </w:rPr>
        <w:t>Corte</w:t>
      </w:r>
      <w:r w:rsidRPr="00572778">
        <w:rPr>
          <w:rFonts w:ascii="Times New Roman" w:hAnsi="Times New Roman" w:cs="Times New Roman"/>
          <w:sz w:val="28"/>
          <w:szCs w:val="28"/>
        </w:rPr>
        <w:t xml:space="preserve"> della Contea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w:t>
      </w:r>
      <w:r w:rsidR="00007677" w:rsidRPr="00572778">
        <w:rPr>
          <w:rFonts w:ascii="Times New Roman" w:hAnsi="Times New Roman" w:cs="Times New Roman"/>
          <w:sz w:val="28"/>
          <w:szCs w:val="28"/>
        </w:rPr>
        <w:t>asserendo</w:t>
      </w:r>
      <w:r w:rsidRPr="00572778">
        <w:rPr>
          <w:rFonts w:ascii="Times New Roman" w:hAnsi="Times New Roman" w:cs="Times New Roman"/>
          <w:sz w:val="28"/>
          <w:szCs w:val="28"/>
        </w:rPr>
        <w:t xml:space="preserve"> che</w:t>
      </w:r>
      <w:r w:rsidR="00007677" w:rsidRPr="00572778">
        <w:rPr>
          <w:rFonts w:ascii="Times New Roman" w:hAnsi="Times New Roman" w:cs="Times New Roman"/>
          <w:sz w:val="28"/>
          <w:szCs w:val="28"/>
        </w:rPr>
        <w:t xml:space="preserve"> </w:t>
      </w:r>
      <w:r w:rsidR="00B410C0">
        <w:rPr>
          <w:rFonts w:ascii="Times New Roman" w:hAnsi="Times New Roman" w:cs="Times New Roman"/>
          <w:sz w:val="28"/>
          <w:szCs w:val="28"/>
        </w:rPr>
        <w:t>le sue conclusioni erano errate</w:t>
      </w:r>
      <w:r w:rsidR="004B6FE9" w:rsidRPr="00572778">
        <w:rPr>
          <w:rFonts w:ascii="Times New Roman" w:hAnsi="Times New Roman" w:cs="Times New Roman"/>
          <w:sz w:val="28"/>
          <w:szCs w:val="28"/>
        </w:rPr>
        <w:t xml:space="preserve">, </w:t>
      </w:r>
      <w:r w:rsidR="00A83929">
        <w:rPr>
          <w:rFonts w:ascii="Times New Roman" w:hAnsi="Times New Roman" w:cs="Times New Roman"/>
          <w:sz w:val="28"/>
          <w:szCs w:val="28"/>
        </w:rPr>
        <w:t>dato che</w:t>
      </w:r>
      <w:r w:rsidR="004B6FE9" w:rsidRPr="00572778">
        <w:rPr>
          <w:rFonts w:ascii="Times New Roman" w:hAnsi="Times New Roman" w:cs="Times New Roman"/>
          <w:sz w:val="28"/>
          <w:szCs w:val="28"/>
        </w:rPr>
        <w:t xml:space="preserve"> la cella n. 8 alloggiava</w:t>
      </w:r>
      <w:r w:rsidR="00BC364A">
        <w:rPr>
          <w:rFonts w:ascii="Times New Roman" w:hAnsi="Times New Roman" w:cs="Times New Roman"/>
          <w:sz w:val="28"/>
          <w:szCs w:val="28"/>
        </w:rPr>
        <w:t xml:space="preserve"> </w:t>
      </w:r>
      <w:r w:rsidR="00A83929">
        <w:rPr>
          <w:rFonts w:ascii="Times New Roman" w:hAnsi="Times New Roman" w:cs="Times New Roman"/>
          <w:sz w:val="28"/>
          <w:szCs w:val="28"/>
        </w:rPr>
        <w:t xml:space="preserve">di fatto </w:t>
      </w:r>
      <w:r w:rsidR="004B6FE9" w:rsidRPr="00572778">
        <w:rPr>
          <w:rFonts w:ascii="Times New Roman" w:hAnsi="Times New Roman" w:cs="Times New Roman"/>
          <w:sz w:val="28"/>
          <w:szCs w:val="28"/>
        </w:rPr>
        <w:t>8 detenuti.</w:t>
      </w:r>
    </w:p>
    <w:p w:rsidR="00325F2B" w:rsidRPr="00572778" w:rsidRDefault="004B6FE9"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21 ottobre 2010 un collegio di 3 giudici del</w:t>
      </w:r>
      <w:r w:rsidR="00D8371F">
        <w:rPr>
          <w:rFonts w:ascii="Times New Roman" w:hAnsi="Times New Roman" w:cs="Times New Roman"/>
          <w:sz w:val="28"/>
          <w:szCs w:val="28"/>
        </w:rPr>
        <w:t>la Corte</w:t>
      </w:r>
      <w:r w:rsidRPr="00572778">
        <w:rPr>
          <w:rFonts w:ascii="Times New Roman" w:hAnsi="Times New Roman" w:cs="Times New Roman"/>
          <w:sz w:val="28"/>
          <w:szCs w:val="28"/>
        </w:rPr>
        <w:t xml:space="preserve"> della Contea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ha rigettato </w:t>
      </w:r>
      <w:r w:rsidR="00360854" w:rsidRPr="00572778">
        <w:rPr>
          <w:rFonts w:ascii="Times New Roman" w:hAnsi="Times New Roman" w:cs="Times New Roman"/>
          <w:sz w:val="28"/>
          <w:szCs w:val="28"/>
        </w:rPr>
        <w:t xml:space="preserve">il ricorso del ricorrente come infondato, sottoscrivendo i motivi del giudice </w:t>
      </w:r>
      <w:r w:rsidR="005E5B66">
        <w:rPr>
          <w:rFonts w:ascii="Times New Roman" w:hAnsi="Times New Roman" w:cs="Times New Roman"/>
          <w:sz w:val="28"/>
          <w:szCs w:val="28"/>
        </w:rPr>
        <w:t xml:space="preserve">dell’esecuzione </w:t>
      </w:r>
      <w:r w:rsidR="00B245A5">
        <w:rPr>
          <w:rFonts w:ascii="Times New Roman" w:hAnsi="Times New Roman" w:cs="Times New Roman"/>
          <w:sz w:val="28"/>
          <w:szCs w:val="28"/>
        </w:rPr>
        <w:t>pen</w:t>
      </w:r>
      <w:r w:rsidR="005E5B66">
        <w:rPr>
          <w:rFonts w:ascii="Times New Roman" w:hAnsi="Times New Roman" w:cs="Times New Roman"/>
          <w:sz w:val="28"/>
          <w:szCs w:val="28"/>
        </w:rPr>
        <w:t>al</w:t>
      </w:r>
      <w:r w:rsidR="00B245A5">
        <w:rPr>
          <w:rFonts w:ascii="Times New Roman" w:hAnsi="Times New Roman" w:cs="Times New Roman"/>
          <w:sz w:val="28"/>
          <w:szCs w:val="28"/>
        </w:rPr>
        <w:t>e</w:t>
      </w:r>
      <w:r w:rsidR="00360854" w:rsidRPr="00572778">
        <w:rPr>
          <w:rFonts w:ascii="Times New Roman" w:hAnsi="Times New Roman" w:cs="Times New Roman"/>
          <w:sz w:val="28"/>
          <w:szCs w:val="28"/>
        </w:rPr>
        <w:t>. Esso spiegava anche che gli standard richiesti per lo</w:t>
      </w:r>
      <w:r w:rsidR="005E5B66">
        <w:rPr>
          <w:rFonts w:ascii="Times New Roman" w:hAnsi="Times New Roman" w:cs="Times New Roman"/>
          <w:sz w:val="28"/>
          <w:szCs w:val="28"/>
        </w:rPr>
        <w:t xml:space="preserve"> spazio personale ai sensi de</w:t>
      </w:r>
      <w:r w:rsidR="00083C94">
        <w:rPr>
          <w:rFonts w:ascii="Times New Roman" w:hAnsi="Times New Roman" w:cs="Times New Roman"/>
          <w:sz w:val="28"/>
          <w:szCs w:val="28"/>
        </w:rPr>
        <w:t>l</w:t>
      </w:r>
      <w:r w:rsidR="005E5B66">
        <w:rPr>
          <w:rFonts w:ascii="Times New Roman" w:hAnsi="Times New Roman" w:cs="Times New Roman"/>
          <w:sz w:val="28"/>
          <w:szCs w:val="28"/>
        </w:rPr>
        <w:t>l</w:t>
      </w:r>
      <w:r w:rsidR="00083C94">
        <w:rPr>
          <w:rFonts w:ascii="Times New Roman" w:hAnsi="Times New Roman" w:cs="Times New Roman"/>
          <w:sz w:val="28"/>
          <w:szCs w:val="28"/>
        </w:rPr>
        <w:t xml:space="preserve">a Legge sull’esecuzione </w:t>
      </w:r>
      <w:r w:rsidR="00154396">
        <w:rPr>
          <w:rFonts w:ascii="Times New Roman" w:hAnsi="Times New Roman" w:cs="Times New Roman"/>
          <w:sz w:val="28"/>
          <w:szCs w:val="28"/>
        </w:rPr>
        <w:t>penale</w:t>
      </w:r>
      <w:r w:rsidR="00360854" w:rsidRPr="00572778">
        <w:rPr>
          <w:rFonts w:ascii="Times New Roman" w:hAnsi="Times New Roman" w:cs="Times New Roman"/>
          <w:sz w:val="28"/>
          <w:szCs w:val="28"/>
        </w:rPr>
        <w:t>, cioè 4 metri quadr</w:t>
      </w:r>
      <w:r w:rsidR="00083C94">
        <w:rPr>
          <w:rFonts w:ascii="Times New Roman" w:hAnsi="Times New Roman" w:cs="Times New Roman"/>
          <w:sz w:val="28"/>
          <w:szCs w:val="28"/>
        </w:rPr>
        <w:t>i</w:t>
      </w:r>
      <w:r w:rsidR="00360854" w:rsidRPr="00572778">
        <w:rPr>
          <w:rFonts w:ascii="Times New Roman" w:hAnsi="Times New Roman" w:cs="Times New Roman"/>
          <w:sz w:val="28"/>
          <w:szCs w:val="28"/>
        </w:rPr>
        <w:t>, dovrebbe</w:t>
      </w:r>
      <w:r w:rsidR="00083C94">
        <w:rPr>
          <w:rFonts w:ascii="Times New Roman" w:hAnsi="Times New Roman" w:cs="Times New Roman"/>
          <w:sz w:val="28"/>
          <w:szCs w:val="28"/>
        </w:rPr>
        <w:t>ro in principio essere rispettati</w:t>
      </w:r>
      <w:r w:rsidR="00360854" w:rsidRPr="00572778">
        <w:rPr>
          <w:rFonts w:ascii="Times New Roman" w:hAnsi="Times New Roman" w:cs="Times New Roman"/>
          <w:sz w:val="28"/>
          <w:szCs w:val="28"/>
        </w:rPr>
        <w:t>, ma non poteva esserci una violazione automatica dei diritti del detenuto se un tale standard non fosse temporaneamente osservato.</w:t>
      </w:r>
    </w:p>
    <w:p w:rsidR="00360854" w:rsidRPr="00572778" w:rsidRDefault="00360854"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L’8 novembre 2010 il ricorrente </w:t>
      </w:r>
      <w:r w:rsidR="00D8371F">
        <w:rPr>
          <w:rFonts w:ascii="Times New Roman" w:hAnsi="Times New Roman" w:cs="Times New Roman"/>
          <w:sz w:val="28"/>
          <w:szCs w:val="28"/>
        </w:rPr>
        <w:t>ha contestato alla Corte</w:t>
      </w:r>
      <w:r w:rsidR="000F735D" w:rsidRPr="00572778">
        <w:rPr>
          <w:rFonts w:ascii="Times New Roman" w:hAnsi="Times New Roman" w:cs="Times New Roman"/>
          <w:sz w:val="28"/>
          <w:szCs w:val="28"/>
        </w:rPr>
        <w:t xml:space="preserve"> della Contea di </w:t>
      </w:r>
      <w:proofErr w:type="spellStart"/>
      <w:r w:rsidR="000F735D" w:rsidRPr="00572778">
        <w:rPr>
          <w:rFonts w:ascii="Times New Roman" w:hAnsi="Times New Roman" w:cs="Times New Roman"/>
          <w:sz w:val="28"/>
          <w:szCs w:val="28"/>
        </w:rPr>
        <w:t>Bjelovar</w:t>
      </w:r>
      <w:proofErr w:type="spellEnd"/>
      <w:r w:rsidR="000F735D" w:rsidRPr="00572778">
        <w:rPr>
          <w:rFonts w:ascii="Times New Roman" w:hAnsi="Times New Roman" w:cs="Times New Roman"/>
          <w:sz w:val="28"/>
          <w:szCs w:val="28"/>
        </w:rPr>
        <w:t xml:space="preserve"> la decisione del collegio dei tre giudici. Egli ha sostenuto che per i primi sei mesi dal suo arrivo nel carcere di </w:t>
      </w:r>
      <w:proofErr w:type="spellStart"/>
      <w:r w:rsidR="000F735D" w:rsidRPr="00572778">
        <w:rPr>
          <w:rFonts w:ascii="Times New Roman" w:hAnsi="Times New Roman" w:cs="Times New Roman"/>
          <w:sz w:val="28"/>
          <w:szCs w:val="28"/>
        </w:rPr>
        <w:t>Bjelovar</w:t>
      </w:r>
      <w:proofErr w:type="spellEnd"/>
      <w:r w:rsidR="000F735D" w:rsidRPr="00572778">
        <w:rPr>
          <w:rFonts w:ascii="Times New Roman" w:hAnsi="Times New Roman" w:cs="Times New Roman"/>
          <w:sz w:val="28"/>
          <w:szCs w:val="28"/>
        </w:rPr>
        <w:t>, egli era stato detenuto nella cella n. 1, che misurava 17</w:t>
      </w:r>
      <w:r w:rsidR="008E5164">
        <w:rPr>
          <w:rFonts w:ascii="Times New Roman" w:hAnsi="Times New Roman" w:cs="Times New Roman"/>
          <w:sz w:val="28"/>
          <w:szCs w:val="28"/>
        </w:rPr>
        <w:t>,</w:t>
      </w:r>
      <w:r w:rsidR="000F735D" w:rsidRPr="00572778">
        <w:rPr>
          <w:rFonts w:ascii="Times New Roman" w:hAnsi="Times New Roman" w:cs="Times New Roman"/>
          <w:sz w:val="28"/>
          <w:szCs w:val="28"/>
        </w:rPr>
        <w:t xml:space="preserve">13 metri quadri, dove vi erano </w:t>
      </w:r>
      <w:r w:rsidR="00E86820">
        <w:rPr>
          <w:rFonts w:ascii="Times New Roman" w:hAnsi="Times New Roman" w:cs="Times New Roman"/>
          <w:sz w:val="28"/>
          <w:szCs w:val="28"/>
        </w:rPr>
        <w:t xml:space="preserve">stati </w:t>
      </w:r>
      <w:r w:rsidR="000F735D" w:rsidRPr="00572778">
        <w:rPr>
          <w:rFonts w:ascii="Times New Roman" w:hAnsi="Times New Roman" w:cs="Times New Roman"/>
          <w:sz w:val="28"/>
          <w:szCs w:val="28"/>
        </w:rPr>
        <w:t>in totale sei detenuti.</w:t>
      </w:r>
      <w:r w:rsidR="00BC364A">
        <w:rPr>
          <w:rFonts w:ascii="Times New Roman" w:hAnsi="Times New Roman" w:cs="Times New Roman"/>
          <w:sz w:val="28"/>
          <w:szCs w:val="28"/>
        </w:rPr>
        <w:t xml:space="preserve"> </w:t>
      </w:r>
      <w:r w:rsidR="000F735D" w:rsidRPr="00572778">
        <w:rPr>
          <w:rFonts w:ascii="Times New Roman" w:hAnsi="Times New Roman" w:cs="Times New Roman"/>
          <w:sz w:val="28"/>
          <w:szCs w:val="28"/>
        </w:rPr>
        <w:t>Egli aveva quindi trascorso un mese nella cella n.8 al primo piano co</w:t>
      </w:r>
      <w:r w:rsidR="008E5164">
        <w:rPr>
          <w:rFonts w:ascii="Times New Roman" w:hAnsi="Times New Roman" w:cs="Times New Roman"/>
          <w:sz w:val="28"/>
          <w:szCs w:val="28"/>
        </w:rPr>
        <w:t>n sei detenuti, che misurava 17,</w:t>
      </w:r>
      <w:r w:rsidR="000F735D" w:rsidRPr="00572778">
        <w:rPr>
          <w:rFonts w:ascii="Times New Roman" w:hAnsi="Times New Roman" w:cs="Times New Roman"/>
          <w:sz w:val="28"/>
          <w:szCs w:val="28"/>
        </w:rPr>
        <w:t xml:space="preserve">13 metri quadri. Era stato poi </w:t>
      </w:r>
      <w:r w:rsidR="00FF0D3E">
        <w:rPr>
          <w:rFonts w:ascii="Times New Roman" w:hAnsi="Times New Roman" w:cs="Times New Roman"/>
          <w:sz w:val="28"/>
          <w:szCs w:val="28"/>
        </w:rPr>
        <w:t>collocato</w:t>
      </w:r>
      <w:r w:rsidR="000F735D" w:rsidRPr="00572778">
        <w:rPr>
          <w:rFonts w:ascii="Times New Roman" w:hAnsi="Times New Roman" w:cs="Times New Roman"/>
          <w:sz w:val="28"/>
          <w:szCs w:val="28"/>
        </w:rPr>
        <w:t xml:space="preserve"> in un’altra cella, </w:t>
      </w:r>
      <w:r w:rsidR="00017A23">
        <w:rPr>
          <w:rFonts w:ascii="Times New Roman" w:hAnsi="Times New Roman" w:cs="Times New Roman"/>
          <w:sz w:val="28"/>
          <w:szCs w:val="28"/>
        </w:rPr>
        <w:t>contras</w:t>
      </w:r>
      <w:r w:rsidR="000F735D" w:rsidRPr="00572778">
        <w:rPr>
          <w:rFonts w:ascii="Times New Roman" w:hAnsi="Times New Roman" w:cs="Times New Roman"/>
          <w:sz w:val="28"/>
          <w:szCs w:val="28"/>
        </w:rPr>
        <w:t>segnata come cella n. 8, che misurava di nuovo 17</w:t>
      </w:r>
      <w:r w:rsidR="008E5164">
        <w:rPr>
          <w:rFonts w:ascii="Times New Roman" w:hAnsi="Times New Roman" w:cs="Times New Roman"/>
          <w:sz w:val="28"/>
          <w:szCs w:val="28"/>
        </w:rPr>
        <w:t>,</w:t>
      </w:r>
      <w:r w:rsidR="000F735D" w:rsidRPr="00572778">
        <w:rPr>
          <w:rFonts w:ascii="Times New Roman" w:hAnsi="Times New Roman" w:cs="Times New Roman"/>
          <w:sz w:val="28"/>
          <w:szCs w:val="28"/>
        </w:rPr>
        <w:t>13 metri quadri, dove egli aveva trascorso 6 mesi c</w:t>
      </w:r>
      <w:r w:rsidR="007A2B13" w:rsidRPr="00572778">
        <w:rPr>
          <w:rFonts w:ascii="Times New Roman" w:hAnsi="Times New Roman" w:cs="Times New Roman"/>
          <w:sz w:val="28"/>
          <w:szCs w:val="28"/>
        </w:rPr>
        <w:t xml:space="preserve">on 8 detenuti. </w:t>
      </w:r>
      <w:r w:rsidR="00017A23">
        <w:rPr>
          <w:rFonts w:ascii="Times New Roman" w:hAnsi="Times New Roman" w:cs="Times New Roman"/>
          <w:sz w:val="28"/>
          <w:szCs w:val="28"/>
        </w:rPr>
        <w:t>A quel tempo</w:t>
      </w:r>
      <w:r w:rsidR="000F735D" w:rsidRPr="00572778">
        <w:rPr>
          <w:rFonts w:ascii="Times New Roman" w:hAnsi="Times New Roman" w:cs="Times New Roman"/>
          <w:sz w:val="28"/>
          <w:szCs w:val="28"/>
        </w:rPr>
        <w:t xml:space="preserve"> egli si trovava nella cella n. 4 con 6 detenuti.</w:t>
      </w:r>
    </w:p>
    <w:p w:rsidR="000F735D" w:rsidRPr="00572778" w:rsidRDefault="000F735D"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Il 20 novembre 2010</w:t>
      </w:r>
      <w:r w:rsidR="0050395C" w:rsidRPr="00572778">
        <w:rPr>
          <w:rFonts w:ascii="Times New Roman" w:hAnsi="Times New Roman" w:cs="Times New Roman"/>
          <w:sz w:val="28"/>
          <w:szCs w:val="28"/>
        </w:rPr>
        <w:t xml:space="preserve"> il ricorrente ha presentato un reclamo costituzionale alla Corte Costituzionale (</w:t>
      </w:r>
      <w:proofErr w:type="spellStart"/>
      <w:r w:rsidR="0050395C" w:rsidRPr="008E5164">
        <w:rPr>
          <w:rFonts w:ascii="Times New Roman" w:hAnsi="Times New Roman" w:cs="Times New Roman"/>
          <w:i/>
          <w:sz w:val="28"/>
          <w:szCs w:val="28"/>
        </w:rPr>
        <w:t>Ustavni</w:t>
      </w:r>
      <w:proofErr w:type="spellEnd"/>
      <w:r w:rsidR="0050395C" w:rsidRPr="008E5164">
        <w:rPr>
          <w:rFonts w:ascii="Times New Roman" w:hAnsi="Times New Roman" w:cs="Times New Roman"/>
          <w:i/>
          <w:sz w:val="28"/>
          <w:szCs w:val="28"/>
        </w:rPr>
        <w:t xml:space="preserve"> sud </w:t>
      </w:r>
      <w:proofErr w:type="spellStart"/>
      <w:r w:rsidR="0050395C" w:rsidRPr="008E5164">
        <w:rPr>
          <w:rFonts w:ascii="Times New Roman" w:hAnsi="Times New Roman" w:cs="Times New Roman"/>
          <w:i/>
          <w:sz w:val="28"/>
          <w:szCs w:val="28"/>
        </w:rPr>
        <w:t>Republike</w:t>
      </w:r>
      <w:proofErr w:type="spellEnd"/>
      <w:r w:rsidR="0050395C" w:rsidRPr="008E5164">
        <w:rPr>
          <w:rFonts w:ascii="Times New Roman" w:hAnsi="Times New Roman" w:cs="Times New Roman"/>
          <w:i/>
          <w:sz w:val="28"/>
          <w:szCs w:val="28"/>
        </w:rPr>
        <w:t xml:space="preserve"> </w:t>
      </w:r>
      <w:proofErr w:type="spellStart"/>
      <w:r w:rsidR="0050395C" w:rsidRPr="008E5164">
        <w:rPr>
          <w:rFonts w:ascii="Times New Roman" w:hAnsi="Times New Roman" w:cs="Times New Roman"/>
          <w:i/>
          <w:sz w:val="28"/>
          <w:szCs w:val="28"/>
        </w:rPr>
        <w:t>Hrvatske</w:t>
      </w:r>
      <w:proofErr w:type="spellEnd"/>
      <w:r w:rsidR="0050395C" w:rsidRPr="00572778">
        <w:rPr>
          <w:rFonts w:ascii="Times New Roman" w:hAnsi="Times New Roman" w:cs="Times New Roman"/>
          <w:sz w:val="28"/>
          <w:szCs w:val="28"/>
        </w:rPr>
        <w:t xml:space="preserve">), </w:t>
      </w:r>
      <w:r w:rsidR="00FF013A">
        <w:rPr>
          <w:rFonts w:ascii="Times New Roman" w:hAnsi="Times New Roman" w:cs="Times New Roman"/>
          <w:sz w:val="28"/>
          <w:szCs w:val="28"/>
        </w:rPr>
        <w:t>in base</w:t>
      </w:r>
      <w:r w:rsidR="0050395C" w:rsidRPr="00572778">
        <w:rPr>
          <w:rFonts w:ascii="Times New Roman" w:hAnsi="Times New Roman" w:cs="Times New Roman"/>
          <w:sz w:val="28"/>
          <w:szCs w:val="28"/>
        </w:rPr>
        <w:t xml:space="preserve"> </w:t>
      </w:r>
      <w:r w:rsidR="00FF013A">
        <w:rPr>
          <w:rFonts w:ascii="Times New Roman" w:hAnsi="Times New Roman" w:cs="Times New Roman"/>
          <w:sz w:val="28"/>
          <w:szCs w:val="28"/>
        </w:rPr>
        <w:t>a</w:t>
      </w:r>
      <w:r w:rsidR="0050395C" w:rsidRPr="00572778">
        <w:rPr>
          <w:rFonts w:ascii="Times New Roman" w:hAnsi="Times New Roman" w:cs="Times New Roman"/>
          <w:sz w:val="28"/>
          <w:szCs w:val="28"/>
        </w:rPr>
        <w:t>gli articoli 14 § 2 (parità di fronte alla legge),</w:t>
      </w:r>
      <w:r w:rsidR="00BC364A">
        <w:rPr>
          <w:rFonts w:ascii="Times New Roman" w:hAnsi="Times New Roman" w:cs="Times New Roman"/>
          <w:sz w:val="28"/>
          <w:szCs w:val="28"/>
        </w:rPr>
        <w:t xml:space="preserve"> </w:t>
      </w:r>
      <w:r w:rsidR="0050395C" w:rsidRPr="00572778">
        <w:rPr>
          <w:rFonts w:ascii="Times New Roman" w:hAnsi="Times New Roman" w:cs="Times New Roman"/>
          <w:sz w:val="28"/>
          <w:szCs w:val="28"/>
        </w:rPr>
        <w:t>26 (par</w:t>
      </w:r>
      <w:r w:rsidR="00FF013A">
        <w:rPr>
          <w:rFonts w:ascii="Times New Roman" w:hAnsi="Times New Roman" w:cs="Times New Roman"/>
          <w:sz w:val="28"/>
          <w:szCs w:val="28"/>
        </w:rPr>
        <w:t>it</w:t>
      </w:r>
      <w:r w:rsidR="0050395C" w:rsidRPr="00572778">
        <w:rPr>
          <w:rFonts w:ascii="Times New Roman" w:hAnsi="Times New Roman" w:cs="Times New Roman"/>
          <w:sz w:val="28"/>
          <w:szCs w:val="28"/>
        </w:rPr>
        <w:t>à di fronte alle autorità dello Stato) e 29 (diritto ad un giusto processo) della Costituzione, lame</w:t>
      </w:r>
      <w:r w:rsidR="0000017F">
        <w:rPr>
          <w:rFonts w:ascii="Times New Roman" w:hAnsi="Times New Roman" w:cs="Times New Roman"/>
          <w:sz w:val="28"/>
          <w:szCs w:val="28"/>
        </w:rPr>
        <w:t xml:space="preserve">ntandosi in termini generali della </w:t>
      </w:r>
      <w:r w:rsidR="0050395C" w:rsidRPr="00572778">
        <w:rPr>
          <w:rFonts w:ascii="Times New Roman" w:hAnsi="Times New Roman" w:cs="Times New Roman"/>
          <w:sz w:val="28"/>
          <w:szCs w:val="28"/>
        </w:rPr>
        <w:t xml:space="preserve">mancanza di uno spazio personale e di opportunità di lavoro nel carcere di </w:t>
      </w:r>
      <w:proofErr w:type="spellStart"/>
      <w:r w:rsidR="0050395C" w:rsidRPr="00572778">
        <w:rPr>
          <w:rFonts w:ascii="Times New Roman" w:hAnsi="Times New Roman" w:cs="Times New Roman"/>
          <w:sz w:val="28"/>
          <w:szCs w:val="28"/>
        </w:rPr>
        <w:t>Bjelovar</w:t>
      </w:r>
      <w:proofErr w:type="spellEnd"/>
      <w:r w:rsidR="0050395C" w:rsidRPr="00572778">
        <w:rPr>
          <w:rFonts w:ascii="Times New Roman" w:hAnsi="Times New Roman" w:cs="Times New Roman"/>
          <w:sz w:val="28"/>
          <w:szCs w:val="28"/>
        </w:rPr>
        <w:t>.</w:t>
      </w:r>
    </w:p>
    <w:p w:rsidR="0050395C" w:rsidRPr="00572778" w:rsidRDefault="0050395C"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26 novembre 2010 il ricorrente ha </w:t>
      </w:r>
      <w:r w:rsidR="00FB037F">
        <w:rPr>
          <w:rFonts w:ascii="Times New Roman" w:hAnsi="Times New Roman" w:cs="Times New Roman"/>
          <w:sz w:val="28"/>
          <w:szCs w:val="28"/>
        </w:rPr>
        <w:t>contestato</w:t>
      </w:r>
      <w:r w:rsidRPr="00572778">
        <w:rPr>
          <w:rFonts w:ascii="Times New Roman" w:hAnsi="Times New Roman" w:cs="Times New Roman"/>
          <w:sz w:val="28"/>
          <w:szCs w:val="28"/>
        </w:rPr>
        <w:t xml:space="preserve"> all’Ombudsman </w:t>
      </w:r>
      <w:r w:rsidR="00D95747" w:rsidRPr="00572778">
        <w:rPr>
          <w:rFonts w:ascii="Times New Roman" w:hAnsi="Times New Roman" w:cs="Times New Roman"/>
          <w:sz w:val="28"/>
          <w:szCs w:val="28"/>
        </w:rPr>
        <w:t>(</w:t>
      </w:r>
      <w:r w:rsidR="000D7B42">
        <w:rPr>
          <w:rFonts w:ascii="Times New Roman" w:hAnsi="Times New Roman" w:cs="Times New Roman"/>
          <w:sz w:val="28"/>
          <w:szCs w:val="28"/>
        </w:rPr>
        <w:t>Garante dei diritti dei detenuti</w:t>
      </w:r>
      <w:r w:rsidR="00D95747" w:rsidRPr="00572778">
        <w:rPr>
          <w:rFonts w:ascii="Times New Roman" w:hAnsi="Times New Roman" w:cs="Times New Roman"/>
          <w:sz w:val="28"/>
          <w:szCs w:val="28"/>
        </w:rPr>
        <w:t>) (</w:t>
      </w:r>
      <w:proofErr w:type="spellStart"/>
      <w:r w:rsidR="00D95747" w:rsidRPr="008E5164">
        <w:rPr>
          <w:rFonts w:ascii="Times New Roman" w:hAnsi="Times New Roman" w:cs="Times New Roman"/>
          <w:i/>
          <w:sz w:val="28"/>
          <w:szCs w:val="28"/>
        </w:rPr>
        <w:t>Pučki</w:t>
      </w:r>
      <w:proofErr w:type="spellEnd"/>
      <w:r w:rsidR="00D95747" w:rsidRPr="008E5164">
        <w:rPr>
          <w:rFonts w:ascii="Times New Roman" w:hAnsi="Times New Roman" w:cs="Times New Roman"/>
          <w:i/>
          <w:sz w:val="28"/>
          <w:szCs w:val="28"/>
        </w:rPr>
        <w:t xml:space="preserve"> </w:t>
      </w:r>
      <w:proofErr w:type="spellStart"/>
      <w:r w:rsidR="00D95747" w:rsidRPr="008E5164">
        <w:rPr>
          <w:rFonts w:ascii="Times New Roman" w:hAnsi="Times New Roman" w:cs="Times New Roman"/>
          <w:i/>
          <w:sz w:val="28"/>
          <w:szCs w:val="28"/>
        </w:rPr>
        <w:t>pravobranitelj</w:t>
      </w:r>
      <w:proofErr w:type="spellEnd"/>
      <w:r w:rsidR="00D95747" w:rsidRPr="00572778">
        <w:rPr>
          <w:rFonts w:ascii="Times New Roman" w:hAnsi="Times New Roman" w:cs="Times New Roman"/>
          <w:sz w:val="28"/>
          <w:szCs w:val="28"/>
        </w:rPr>
        <w:t xml:space="preserve">) che non gli era stato concesso </w:t>
      </w:r>
      <w:r w:rsidR="006A1481">
        <w:rPr>
          <w:rFonts w:ascii="Times New Roman" w:hAnsi="Times New Roman" w:cs="Times New Roman"/>
          <w:sz w:val="28"/>
          <w:szCs w:val="28"/>
        </w:rPr>
        <w:t>il</w:t>
      </w:r>
      <w:r w:rsidR="00D95747" w:rsidRPr="00572778">
        <w:rPr>
          <w:rFonts w:ascii="Times New Roman" w:hAnsi="Times New Roman" w:cs="Times New Roman"/>
          <w:sz w:val="28"/>
          <w:szCs w:val="28"/>
        </w:rPr>
        <w:t xml:space="preserve"> trasferimento al carcere più vicino alla sua famiglia, e sosteneva in termini generali che le</w:t>
      </w:r>
      <w:r w:rsidR="00C6645D">
        <w:rPr>
          <w:rFonts w:ascii="Times New Roman" w:hAnsi="Times New Roman" w:cs="Times New Roman"/>
          <w:sz w:val="28"/>
          <w:szCs w:val="28"/>
        </w:rPr>
        <w:t xml:space="preserve"> condizioni della sua detenzione</w:t>
      </w:r>
      <w:r w:rsidR="00D95747" w:rsidRPr="00572778">
        <w:rPr>
          <w:rFonts w:ascii="Times New Roman" w:hAnsi="Times New Roman" w:cs="Times New Roman"/>
          <w:sz w:val="28"/>
          <w:szCs w:val="28"/>
        </w:rPr>
        <w:t xml:space="preserve"> erano state inadeguate.</w:t>
      </w:r>
    </w:p>
    <w:p w:rsidR="00D95747" w:rsidRPr="00572778" w:rsidRDefault="00D95747"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Con lettera del 7 dicembre 2010 </w:t>
      </w:r>
      <w:r w:rsidRPr="00042505">
        <w:rPr>
          <w:rFonts w:ascii="Times New Roman" w:hAnsi="Times New Roman" w:cs="Times New Roman"/>
          <w:i/>
          <w:sz w:val="28"/>
          <w:szCs w:val="28"/>
        </w:rPr>
        <w:t>l’ Ombudsman</w:t>
      </w:r>
      <w:r w:rsidRPr="00572778">
        <w:rPr>
          <w:rFonts w:ascii="Times New Roman" w:hAnsi="Times New Roman" w:cs="Times New Roman"/>
          <w:sz w:val="28"/>
          <w:szCs w:val="28"/>
        </w:rPr>
        <w:t xml:space="preserve"> ha invitato il ricorrente a </w:t>
      </w:r>
      <w:r w:rsidR="00AA2E60" w:rsidRPr="00572778">
        <w:rPr>
          <w:rFonts w:ascii="Times New Roman" w:hAnsi="Times New Roman" w:cs="Times New Roman"/>
          <w:sz w:val="28"/>
          <w:szCs w:val="28"/>
        </w:rPr>
        <w:t xml:space="preserve">dimostrare ulteriormente </w:t>
      </w:r>
      <w:r w:rsidR="00C6645D">
        <w:rPr>
          <w:rFonts w:ascii="Times New Roman" w:hAnsi="Times New Roman" w:cs="Times New Roman"/>
          <w:sz w:val="28"/>
          <w:szCs w:val="28"/>
        </w:rPr>
        <w:t>le</w:t>
      </w:r>
      <w:r w:rsidR="00BC364A">
        <w:rPr>
          <w:rFonts w:ascii="Times New Roman" w:hAnsi="Times New Roman" w:cs="Times New Roman"/>
          <w:sz w:val="28"/>
          <w:szCs w:val="28"/>
        </w:rPr>
        <w:t xml:space="preserve"> </w:t>
      </w:r>
      <w:r w:rsidR="00AA2E60" w:rsidRPr="00572778">
        <w:rPr>
          <w:rFonts w:ascii="Times New Roman" w:hAnsi="Times New Roman" w:cs="Times New Roman"/>
          <w:sz w:val="28"/>
          <w:szCs w:val="28"/>
        </w:rPr>
        <w:t>su</w:t>
      </w:r>
      <w:r w:rsidR="00C6645D">
        <w:rPr>
          <w:rFonts w:ascii="Times New Roman" w:hAnsi="Times New Roman" w:cs="Times New Roman"/>
          <w:sz w:val="28"/>
          <w:szCs w:val="28"/>
        </w:rPr>
        <w:t>e lamentele</w:t>
      </w:r>
      <w:r w:rsidR="00AA2E60" w:rsidRPr="00572778">
        <w:rPr>
          <w:rFonts w:ascii="Times New Roman" w:hAnsi="Times New Roman" w:cs="Times New Roman"/>
          <w:sz w:val="28"/>
          <w:szCs w:val="28"/>
        </w:rPr>
        <w:t>.</w:t>
      </w:r>
    </w:p>
    <w:p w:rsidR="00AA2E60" w:rsidRPr="00572778" w:rsidRDefault="00AA2E60"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ricorrente ha risposto a quella richiesta del 21 dicembre 2010, indicando che il giudice </w:t>
      </w:r>
      <w:r w:rsidR="005E5B66">
        <w:rPr>
          <w:rFonts w:ascii="Times New Roman" w:hAnsi="Times New Roman" w:cs="Times New Roman"/>
          <w:sz w:val="28"/>
          <w:szCs w:val="28"/>
        </w:rPr>
        <w:t>dell</w:t>
      </w:r>
      <w:r w:rsidRPr="00572778">
        <w:rPr>
          <w:rFonts w:ascii="Times New Roman" w:hAnsi="Times New Roman" w:cs="Times New Roman"/>
          <w:sz w:val="28"/>
          <w:szCs w:val="28"/>
        </w:rPr>
        <w:t>’esecuzione pena</w:t>
      </w:r>
      <w:r w:rsidR="005E5B66">
        <w:rPr>
          <w:rFonts w:ascii="Times New Roman" w:hAnsi="Times New Roman" w:cs="Times New Roman"/>
          <w:sz w:val="28"/>
          <w:szCs w:val="28"/>
        </w:rPr>
        <w:t>le</w:t>
      </w:r>
      <w:r w:rsidRPr="00572778">
        <w:rPr>
          <w:rFonts w:ascii="Times New Roman" w:hAnsi="Times New Roman" w:cs="Times New Roman"/>
          <w:sz w:val="28"/>
          <w:szCs w:val="28"/>
        </w:rPr>
        <w:t xml:space="preserve"> ed </w:t>
      </w:r>
      <w:r w:rsidR="008C17BE">
        <w:rPr>
          <w:rFonts w:ascii="Times New Roman" w:hAnsi="Times New Roman" w:cs="Times New Roman"/>
          <w:sz w:val="28"/>
          <w:szCs w:val="28"/>
        </w:rPr>
        <w:t>il collegio dei tre giudici della</w:t>
      </w:r>
      <w:r w:rsidRPr="00572778">
        <w:rPr>
          <w:rFonts w:ascii="Times New Roman" w:hAnsi="Times New Roman" w:cs="Times New Roman"/>
          <w:sz w:val="28"/>
          <w:szCs w:val="28"/>
        </w:rPr>
        <w:t xml:space="preserve"> </w:t>
      </w:r>
      <w:r w:rsidR="008C17BE">
        <w:rPr>
          <w:rFonts w:ascii="Times New Roman" w:hAnsi="Times New Roman" w:cs="Times New Roman"/>
          <w:sz w:val="28"/>
          <w:szCs w:val="28"/>
        </w:rPr>
        <w:t xml:space="preserve">Corte </w:t>
      </w:r>
      <w:r w:rsidRPr="00572778">
        <w:rPr>
          <w:rFonts w:ascii="Times New Roman" w:hAnsi="Times New Roman" w:cs="Times New Roman"/>
          <w:sz w:val="28"/>
          <w:szCs w:val="28"/>
        </w:rPr>
        <w:t xml:space="preserve">della Contea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non avevano mai esaminato </w:t>
      </w:r>
      <w:r w:rsidR="003B43C3">
        <w:rPr>
          <w:rFonts w:ascii="Times New Roman" w:hAnsi="Times New Roman" w:cs="Times New Roman"/>
          <w:sz w:val="28"/>
          <w:szCs w:val="28"/>
        </w:rPr>
        <w:t>le</w:t>
      </w:r>
      <w:r w:rsidRPr="00572778">
        <w:rPr>
          <w:rFonts w:ascii="Times New Roman" w:hAnsi="Times New Roman" w:cs="Times New Roman"/>
          <w:sz w:val="28"/>
          <w:szCs w:val="28"/>
        </w:rPr>
        <w:t xml:space="preserve"> su</w:t>
      </w:r>
      <w:r w:rsidR="003B43C3">
        <w:rPr>
          <w:rFonts w:ascii="Times New Roman" w:hAnsi="Times New Roman" w:cs="Times New Roman"/>
          <w:sz w:val="28"/>
          <w:szCs w:val="28"/>
        </w:rPr>
        <w:t>e</w:t>
      </w:r>
      <w:r w:rsidRPr="00572778">
        <w:rPr>
          <w:rFonts w:ascii="Times New Roman" w:hAnsi="Times New Roman" w:cs="Times New Roman"/>
          <w:sz w:val="28"/>
          <w:szCs w:val="28"/>
        </w:rPr>
        <w:t xml:space="preserve"> </w:t>
      </w:r>
      <w:r w:rsidR="003B43C3">
        <w:rPr>
          <w:rFonts w:ascii="Times New Roman" w:hAnsi="Times New Roman" w:cs="Times New Roman"/>
          <w:sz w:val="28"/>
          <w:szCs w:val="28"/>
        </w:rPr>
        <w:t>lamentele</w:t>
      </w:r>
      <w:r w:rsidRPr="00572778">
        <w:rPr>
          <w:rFonts w:ascii="Times New Roman" w:hAnsi="Times New Roman" w:cs="Times New Roman"/>
          <w:sz w:val="28"/>
          <w:szCs w:val="28"/>
        </w:rPr>
        <w:t xml:space="preserve"> correttamente, e che non gli erano stati concessi</w:t>
      </w:r>
      <w:r w:rsidR="00BC364A">
        <w:rPr>
          <w:rFonts w:ascii="Times New Roman" w:hAnsi="Times New Roman" w:cs="Times New Roman"/>
          <w:sz w:val="28"/>
          <w:szCs w:val="28"/>
        </w:rPr>
        <w:t xml:space="preserve"> </w:t>
      </w:r>
      <w:r w:rsidRPr="00572778">
        <w:rPr>
          <w:rFonts w:ascii="Times New Roman" w:hAnsi="Times New Roman" w:cs="Times New Roman"/>
          <w:sz w:val="28"/>
          <w:szCs w:val="28"/>
        </w:rPr>
        <w:t>4 metri quadri di spazio personale detentivo ai sensi del</w:t>
      </w:r>
      <w:r w:rsidR="00E2661E">
        <w:rPr>
          <w:rFonts w:ascii="Times New Roman" w:hAnsi="Times New Roman" w:cs="Times New Roman"/>
          <w:sz w:val="28"/>
          <w:szCs w:val="28"/>
        </w:rPr>
        <w:t xml:space="preserve">la </w:t>
      </w:r>
      <w:r w:rsidR="003B43C3">
        <w:rPr>
          <w:rFonts w:ascii="Times New Roman" w:hAnsi="Times New Roman" w:cs="Times New Roman"/>
          <w:sz w:val="28"/>
          <w:szCs w:val="28"/>
        </w:rPr>
        <w:t xml:space="preserve">Legge sull’esecuzione </w:t>
      </w:r>
      <w:r w:rsidR="003B0905">
        <w:rPr>
          <w:rFonts w:ascii="Times New Roman" w:hAnsi="Times New Roman" w:cs="Times New Roman"/>
          <w:sz w:val="28"/>
          <w:szCs w:val="28"/>
        </w:rPr>
        <w:t>penale</w:t>
      </w:r>
      <w:r w:rsidRPr="00572778">
        <w:rPr>
          <w:rFonts w:ascii="Times New Roman" w:hAnsi="Times New Roman" w:cs="Times New Roman"/>
          <w:sz w:val="28"/>
          <w:szCs w:val="28"/>
        </w:rPr>
        <w:t>.</w:t>
      </w:r>
    </w:p>
    <w:p w:rsidR="00AA2E60" w:rsidRPr="0024196F" w:rsidRDefault="00AA2E60"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24196F">
        <w:rPr>
          <w:rFonts w:ascii="Times New Roman" w:hAnsi="Times New Roman" w:cs="Times New Roman"/>
          <w:sz w:val="28"/>
          <w:szCs w:val="28"/>
        </w:rPr>
        <w:t xml:space="preserve">Il 12 aprile 2011 l’ Ombudsman ha risposto alla lettera del ricorrente che, secondo le informazioni disponibili, nel suo alloggio nel carcere di </w:t>
      </w:r>
      <w:proofErr w:type="spellStart"/>
      <w:r w:rsidRPr="0024196F">
        <w:rPr>
          <w:rFonts w:ascii="Times New Roman" w:hAnsi="Times New Roman" w:cs="Times New Roman"/>
          <w:sz w:val="28"/>
          <w:szCs w:val="28"/>
        </w:rPr>
        <w:t>Bjelovar</w:t>
      </w:r>
      <w:proofErr w:type="spellEnd"/>
      <w:r w:rsidRPr="0024196F">
        <w:rPr>
          <w:rFonts w:ascii="Times New Roman" w:hAnsi="Times New Roman" w:cs="Times New Roman"/>
          <w:sz w:val="28"/>
          <w:szCs w:val="28"/>
        </w:rPr>
        <w:t xml:space="preserve"> erano venuti meno i requisiti di spazio p</w:t>
      </w:r>
      <w:r w:rsidR="00410860" w:rsidRPr="0024196F">
        <w:rPr>
          <w:rFonts w:ascii="Times New Roman" w:hAnsi="Times New Roman" w:cs="Times New Roman"/>
          <w:sz w:val="28"/>
          <w:szCs w:val="28"/>
        </w:rPr>
        <w:t xml:space="preserve">ersonale adeguato ai sensi </w:t>
      </w:r>
      <w:r w:rsidR="00B21B52" w:rsidRPr="0024196F">
        <w:rPr>
          <w:rFonts w:ascii="Times New Roman" w:hAnsi="Times New Roman" w:cs="Times New Roman"/>
          <w:sz w:val="28"/>
          <w:szCs w:val="28"/>
        </w:rPr>
        <w:t xml:space="preserve">Legge sull’esecuzione </w:t>
      </w:r>
      <w:r w:rsidR="00C7139E" w:rsidRPr="0024196F">
        <w:rPr>
          <w:rFonts w:ascii="Times New Roman" w:hAnsi="Times New Roman" w:cs="Times New Roman"/>
          <w:sz w:val="28"/>
          <w:szCs w:val="28"/>
        </w:rPr>
        <w:t>penale</w:t>
      </w:r>
      <w:r w:rsidR="00B21B52" w:rsidRPr="0024196F">
        <w:rPr>
          <w:rFonts w:ascii="Times New Roman" w:hAnsi="Times New Roman" w:cs="Times New Roman"/>
          <w:sz w:val="28"/>
          <w:szCs w:val="28"/>
        </w:rPr>
        <w:t>.</w:t>
      </w:r>
      <w:r w:rsidR="0024196F">
        <w:rPr>
          <w:rFonts w:ascii="Times New Roman" w:hAnsi="Times New Roman" w:cs="Times New Roman"/>
          <w:sz w:val="28"/>
          <w:szCs w:val="28"/>
        </w:rPr>
        <w:t xml:space="preserve"> </w:t>
      </w:r>
      <w:r w:rsidR="00B21B52" w:rsidRPr="0024196F">
        <w:rPr>
          <w:rFonts w:ascii="Times New Roman" w:hAnsi="Times New Roman" w:cs="Times New Roman"/>
          <w:sz w:val="28"/>
          <w:szCs w:val="28"/>
        </w:rPr>
        <w:t>L’</w:t>
      </w:r>
      <w:r w:rsidR="00B21B52" w:rsidRPr="0024196F">
        <w:rPr>
          <w:rFonts w:ascii="Times New Roman" w:hAnsi="Times New Roman" w:cs="Times New Roman"/>
          <w:i/>
          <w:sz w:val="28"/>
          <w:szCs w:val="28"/>
        </w:rPr>
        <w:t>Om</w:t>
      </w:r>
      <w:r w:rsidRPr="0024196F">
        <w:rPr>
          <w:rFonts w:ascii="Times New Roman" w:hAnsi="Times New Roman" w:cs="Times New Roman"/>
          <w:i/>
          <w:sz w:val="28"/>
          <w:szCs w:val="28"/>
        </w:rPr>
        <w:t>budsman</w:t>
      </w:r>
      <w:r w:rsidRPr="0024196F">
        <w:rPr>
          <w:rFonts w:ascii="Times New Roman" w:hAnsi="Times New Roman" w:cs="Times New Roman"/>
          <w:sz w:val="28"/>
          <w:szCs w:val="28"/>
        </w:rPr>
        <w:t xml:space="preserve"> ha anche sottolineato che la cella dove il ricorrente era detenuto era stata ristrutturata nel 2010 e</w:t>
      </w:r>
      <w:r w:rsidR="00DE711D" w:rsidRPr="0024196F">
        <w:rPr>
          <w:rFonts w:ascii="Times New Roman" w:hAnsi="Times New Roman" w:cs="Times New Roman"/>
          <w:sz w:val="28"/>
          <w:szCs w:val="28"/>
        </w:rPr>
        <w:t>d era conforme</w:t>
      </w:r>
      <w:r w:rsidRPr="0024196F">
        <w:rPr>
          <w:rFonts w:ascii="Times New Roman" w:hAnsi="Times New Roman" w:cs="Times New Roman"/>
          <w:sz w:val="28"/>
          <w:szCs w:val="28"/>
        </w:rPr>
        <w:t xml:space="preserve"> agli standard sanitari e</w:t>
      </w:r>
      <w:r w:rsidR="00DE711D" w:rsidRPr="0024196F">
        <w:rPr>
          <w:rFonts w:ascii="Times New Roman" w:hAnsi="Times New Roman" w:cs="Times New Roman"/>
          <w:sz w:val="28"/>
          <w:szCs w:val="28"/>
        </w:rPr>
        <w:t>d igienici</w:t>
      </w:r>
      <w:r w:rsidRPr="0024196F">
        <w:rPr>
          <w:rFonts w:ascii="Times New Roman" w:hAnsi="Times New Roman" w:cs="Times New Roman"/>
          <w:sz w:val="28"/>
          <w:szCs w:val="28"/>
        </w:rPr>
        <w:t>. L’</w:t>
      </w:r>
      <w:r w:rsidRPr="0024196F">
        <w:rPr>
          <w:rFonts w:ascii="Times New Roman" w:hAnsi="Times New Roman" w:cs="Times New Roman"/>
          <w:i/>
          <w:sz w:val="28"/>
          <w:szCs w:val="28"/>
        </w:rPr>
        <w:t>Ombudsman</w:t>
      </w:r>
      <w:r w:rsidRPr="0024196F">
        <w:rPr>
          <w:rFonts w:ascii="Times New Roman" w:hAnsi="Times New Roman" w:cs="Times New Roman"/>
          <w:sz w:val="28"/>
          <w:szCs w:val="28"/>
        </w:rPr>
        <w:t xml:space="preserve"> ha anche </w:t>
      </w:r>
      <w:r w:rsidR="00A93DA2" w:rsidRPr="0024196F">
        <w:rPr>
          <w:rFonts w:ascii="Times New Roman" w:hAnsi="Times New Roman" w:cs="Times New Roman"/>
          <w:sz w:val="28"/>
          <w:szCs w:val="28"/>
        </w:rPr>
        <w:t xml:space="preserve">rilevato </w:t>
      </w:r>
      <w:r w:rsidRPr="0024196F">
        <w:rPr>
          <w:rFonts w:ascii="Times New Roman" w:hAnsi="Times New Roman" w:cs="Times New Roman"/>
          <w:sz w:val="28"/>
          <w:szCs w:val="28"/>
        </w:rPr>
        <w:t xml:space="preserve">che come altri 92 detenuti il ricorrente non era stato impegnato nel lavoro penitenziario, </w:t>
      </w:r>
      <w:r w:rsidR="00A93DA2" w:rsidRPr="0024196F">
        <w:rPr>
          <w:rFonts w:ascii="Times New Roman" w:hAnsi="Times New Roman" w:cs="Times New Roman"/>
          <w:sz w:val="28"/>
          <w:szCs w:val="28"/>
        </w:rPr>
        <w:t>a causa del</w:t>
      </w:r>
      <w:r w:rsidRPr="0024196F">
        <w:rPr>
          <w:rFonts w:ascii="Times New Roman" w:hAnsi="Times New Roman" w:cs="Times New Roman"/>
          <w:sz w:val="28"/>
          <w:szCs w:val="28"/>
        </w:rPr>
        <w:t xml:space="preserve"> numero insufficiente di posizioni lavorative per tutti i detenuti.</w:t>
      </w:r>
    </w:p>
    <w:p w:rsidR="00AA2E60" w:rsidRPr="00572778" w:rsidRDefault="007313A9"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Pr>
          <w:rFonts w:ascii="Times New Roman" w:hAnsi="Times New Roman" w:cs="Times New Roman"/>
          <w:sz w:val="28"/>
          <w:szCs w:val="28"/>
        </w:rPr>
        <w:t>Il 5 giu</w:t>
      </w:r>
      <w:r w:rsidR="00AA2E60" w:rsidRPr="00572778">
        <w:rPr>
          <w:rFonts w:ascii="Times New Roman" w:hAnsi="Times New Roman" w:cs="Times New Roman"/>
          <w:sz w:val="28"/>
          <w:szCs w:val="28"/>
        </w:rPr>
        <w:t>g</w:t>
      </w:r>
      <w:r>
        <w:rPr>
          <w:rFonts w:ascii="Times New Roman" w:hAnsi="Times New Roman" w:cs="Times New Roman"/>
          <w:sz w:val="28"/>
          <w:szCs w:val="28"/>
        </w:rPr>
        <w:t>n</w:t>
      </w:r>
      <w:r w:rsidR="00AA2E60" w:rsidRPr="00572778">
        <w:rPr>
          <w:rFonts w:ascii="Times New Roman" w:hAnsi="Times New Roman" w:cs="Times New Roman"/>
          <w:sz w:val="28"/>
          <w:szCs w:val="28"/>
        </w:rPr>
        <w:t xml:space="preserve">o 2012 la Corte Costituzionale ha dichiarato inammissibile il reclamo del ricorrente (vedi precedente comma 25) come manifestamente infondato. La parte </w:t>
      </w:r>
      <w:r w:rsidR="008765AD">
        <w:rPr>
          <w:rFonts w:ascii="Times New Roman" w:hAnsi="Times New Roman" w:cs="Times New Roman"/>
          <w:sz w:val="28"/>
          <w:szCs w:val="28"/>
        </w:rPr>
        <w:t>rilevante</w:t>
      </w:r>
      <w:r w:rsidR="00152A3E">
        <w:rPr>
          <w:rFonts w:ascii="Times New Roman" w:hAnsi="Times New Roman" w:cs="Times New Roman"/>
          <w:sz w:val="28"/>
          <w:szCs w:val="28"/>
        </w:rPr>
        <w:t xml:space="preserve"> della decisi</w:t>
      </w:r>
      <w:r w:rsidR="00AA2E60" w:rsidRPr="00572778">
        <w:rPr>
          <w:rFonts w:ascii="Times New Roman" w:hAnsi="Times New Roman" w:cs="Times New Roman"/>
          <w:sz w:val="28"/>
          <w:szCs w:val="28"/>
        </w:rPr>
        <w:t xml:space="preserve">one </w:t>
      </w:r>
      <w:r w:rsidR="00152A3E">
        <w:rPr>
          <w:rFonts w:ascii="Times New Roman" w:hAnsi="Times New Roman" w:cs="Times New Roman"/>
          <w:sz w:val="28"/>
          <w:szCs w:val="28"/>
        </w:rPr>
        <w:t>recita</w:t>
      </w:r>
      <w:r w:rsidR="00AA2E60" w:rsidRPr="00572778">
        <w:rPr>
          <w:rFonts w:ascii="Times New Roman" w:hAnsi="Times New Roman" w:cs="Times New Roman"/>
          <w:sz w:val="28"/>
          <w:szCs w:val="28"/>
        </w:rPr>
        <w:t>:</w:t>
      </w:r>
    </w:p>
    <w:p w:rsidR="00AA2E60" w:rsidRPr="0024196F" w:rsidRDefault="00AA2E60" w:rsidP="0024196F">
      <w:pPr>
        <w:pStyle w:val="Paragrafoelenco"/>
        <w:spacing w:after="120" w:line="240" w:lineRule="auto"/>
        <w:ind w:left="851" w:right="849"/>
        <w:contextualSpacing w:val="0"/>
        <w:jc w:val="both"/>
        <w:rPr>
          <w:rFonts w:ascii="Times New Roman" w:hAnsi="Times New Roman" w:cs="Times New Roman"/>
          <w:sz w:val="24"/>
          <w:szCs w:val="28"/>
        </w:rPr>
      </w:pPr>
      <w:r w:rsidRPr="0024196F">
        <w:rPr>
          <w:rFonts w:ascii="Times New Roman" w:hAnsi="Times New Roman" w:cs="Times New Roman"/>
          <w:sz w:val="24"/>
          <w:szCs w:val="28"/>
        </w:rPr>
        <w:t xml:space="preserve">“Nel suo reclamo costituzionale, il </w:t>
      </w:r>
      <w:r w:rsidR="001532D3" w:rsidRPr="0024196F">
        <w:rPr>
          <w:rFonts w:ascii="Times New Roman" w:hAnsi="Times New Roman" w:cs="Times New Roman"/>
          <w:sz w:val="24"/>
          <w:szCs w:val="28"/>
        </w:rPr>
        <w:t xml:space="preserve">ricorrente non </w:t>
      </w:r>
      <w:r w:rsidR="00B83739" w:rsidRPr="0024196F">
        <w:rPr>
          <w:rFonts w:ascii="Times New Roman" w:hAnsi="Times New Roman" w:cs="Times New Roman"/>
          <w:sz w:val="24"/>
          <w:szCs w:val="28"/>
        </w:rPr>
        <w:t>era in grado</w:t>
      </w:r>
      <w:r w:rsidR="008C17BE" w:rsidRPr="0024196F">
        <w:rPr>
          <w:rFonts w:ascii="Times New Roman" w:hAnsi="Times New Roman" w:cs="Times New Roman"/>
          <w:sz w:val="24"/>
          <w:szCs w:val="28"/>
        </w:rPr>
        <w:t xml:space="preserve"> di mostrare che la Corte </w:t>
      </w:r>
      <w:r w:rsidR="001532D3" w:rsidRPr="0024196F">
        <w:rPr>
          <w:rFonts w:ascii="Times New Roman" w:hAnsi="Times New Roman" w:cs="Times New Roman"/>
          <w:sz w:val="24"/>
          <w:szCs w:val="28"/>
        </w:rPr>
        <w:t>della Co</w:t>
      </w:r>
      <w:r w:rsidR="003E0C2A" w:rsidRPr="0024196F">
        <w:rPr>
          <w:rFonts w:ascii="Times New Roman" w:hAnsi="Times New Roman" w:cs="Times New Roman"/>
          <w:sz w:val="24"/>
          <w:szCs w:val="28"/>
        </w:rPr>
        <w:t>nt</w:t>
      </w:r>
      <w:r w:rsidR="001532D3" w:rsidRPr="0024196F">
        <w:rPr>
          <w:rFonts w:ascii="Times New Roman" w:hAnsi="Times New Roman" w:cs="Times New Roman"/>
          <w:sz w:val="24"/>
          <w:szCs w:val="28"/>
        </w:rPr>
        <w:t xml:space="preserve">ea di </w:t>
      </w:r>
      <w:proofErr w:type="spellStart"/>
      <w:r w:rsidR="001532D3" w:rsidRPr="0024196F">
        <w:rPr>
          <w:rFonts w:ascii="Times New Roman" w:hAnsi="Times New Roman" w:cs="Times New Roman"/>
          <w:sz w:val="24"/>
          <w:szCs w:val="28"/>
        </w:rPr>
        <w:t>Bjelovar</w:t>
      </w:r>
      <w:proofErr w:type="spellEnd"/>
      <w:r w:rsidR="001532D3" w:rsidRPr="0024196F">
        <w:rPr>
          <w:rFonts w:ascii="Times New Roman" w:hAnsi="Times New Roman" w:cs="Times New Roman"/>
          <w:sz w:val="24"/>
          <w:szCs w:val="28"/>
        </w:rPr>
        <w:t xml:space="preserve"> avesse agito contrariamente alle disposizioni costituzionali che riguardano i diritti umani e le libertà fondamentali o avesse arbitrariamente interpretato le r</w:t>
      </w:r>
      <w:r w:rsidR="00B83739" w:rsidRPr="0024196F">
        <w:rPr>
          <w:rFonts w:ascii="Times New Roman" w:hAnsi="Times New Roman" w:cs="Times New Roman"/>
          <w:sz w:val="24"/>
          <w:szCs w:val="28"/>
        </w:rPr>
        <w:t>ilevanti</w:t>
      </w:r>
      <w:r w:rsidR="001532D3" w:rsidRPr="0024196F">
        <w:rPr>
          <w:rFonts w:ascii="Times New Roman" w:hAnsi="Times New Roman" w:cs="Times New Roman"/>
          <w:sz w:val="24"/>
          <w:szCs w:val="28"/>
        </w:rPr>
        <w:t xml:space="preserve"> disposizioni statutarie. La Corte Costituzionale perciò ritiene che il caso </w:t>
      </w:r>
      <w:r w:rsidR="00637E32" w:rsidRPr="0024196F">
        <w:rPr>
          <w:rFonts w:ascii="Times New Roman" w:hAnsi="Times New Roman" w:cs="Times New Roman"/>
          <w:sz w:val="24"/>
          <w:szCs w:val="28"/>
        </w:rPr>
        <w:t>in specie</w:t>
      </w:r>
      <w:r w:rsidR="00A026D9" w:rsidRPr="0024196F">
        <w:rPr>
          <w:rFonts w:ascii="Times New Roman" w:hAnsi="Times New Roman" w:cs="Times New Roman"/>
          <w:sz w:val="24"/>
          <w:szCs w:val="28"/>
        </w:rPr>
        <w:t xml:space="preserve"> non solleva una questione d</w:t>
      </w:r>
      <w:r w:rsidR="001532D3" w:rsidRPr="0024196F">
        <w:rPr>
          <w:rFonts w:ascii="Times New Roman" w:hAnsi="Times New Roman" w:cs="Times New Roman"/>
          <w:sz w:val="24"/>
          <w:szCs w:val="28"/>
        </w:rPr>
        <w:t>i diritti costituzionali del reclamante. Quindi, non c’è alcuna questione di diritto costituzionale affinché la Corte Costituzionale decida su….”.</w:t>
      </w:r>
    </w:p>
    <w:p w:rsidR="001532D3" w:rsidRPr="00572778" w:rsidRDefault="00C51721" w:rsidP="00094990">
      <w:pPr>
        <w:pStyle w:val="Paragrafoelenco"/>
        <w:numPr>
          <w:ilvl w:val="0"/>
          <w:numId w:val="1"/>
        </w:numPr>
        <w:tabs>
          <w:tab w:val="left" w:pos="993"/>
        </w:tabs>
        <w:spacing w:after="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La decisione della Corte Costituzionale è stata </w:t>
      </w:r>
      <w:r w:rsidR="00D363D9" w:rsidRPr="00572778">
        <w:rPr>
          <w:rFonts w:ascii="Times New Roman" w:hAnsi="Times New Roman" w:cs="Times New Roman"/>
          <w:sz w:val="28"/>
          <w:szCs w:val="28"/>
        </w:rPr>
        <w:t>notificata</w:t>
      </w:r>
      <w:r w:rsidRPr="00572778">
        <w:rPr>
          <w:rFonts w:ascii="Times New Roman" w:hAnsi="Times New Roman" w:cs="Times New Roman"/>
          <w:sz w:val="28"/>
          <w:szCs w:val="28"/>
        </w:rPr>
        <w:t xml:space="preserve"> al rappresentante del </w:t>
      </w:r>
      <w:r w:rsidR="00A026D9">
        <w:rPr>
          <w:rFonts w:ascii="Times New Roman" w:hAnsi="Times New Roman" w:cs="Times New Roman"/>
          <w:sz w:val="28"/>
          <w:szCs w:val="28"/>
        </w:rPr>
        <w:t>ri</w:t>
      </w:r>
      <w:r w:rsidRPr="00572778">
        <w:rPr>
          <w:rFonts w:ascii="Times New Roman" w:hAnsi="Times New Roman" w:cs="Times New Roman"/>
          <w:sz w:val="28"/>
          <w:szCs w:val="28"/>
        </w:rPr>
        <w:t>corrente il 18 giu</w:t>
      </w:r>
      <w:r w:rsidR="00D363D9" w:rsidRPr="00572778">
        <w:rPr>
          <w:rFonts w:ascii="Times New Roman" w:hAnsi="Times New Roman" w:cs="Times New Roman"/>
          <w:sz w:val="28"/>
          <w:szCs w:val="28"/>
        </w:rPr>
        <w:t>gno</w:t>
      </w:r>
      <w:r w:rsidRPr="00572778">
        <w:rPr>
          <w:rFonts w:ascii="Times New Roman" w:hAnsi="Times New Roman" w:cs="Times New Roman"/>
          <w:sz w:val="28"/>
          <w:szCs w:val="28"/>
        </w:rPr>
        <w:t xml:space="preserve"> 2012.</w:t>
      </w:r>
    </w:p>
    <w:p w:rsidR="00CA7E85" w:rsidRDefault="00CA7E85" w:rsidP="00725131">
      <w:pPr>
        <w:spacing w:after="0" w:line="240" w:lineRule="auto"/>
        <w:jc w:val="both"/>
        <w:rPr>
          <w:rFonts w:ascii="Times New Roman" w:hAnsi="Times New Roman" w:cs="Times New Roman"/>
          <w:sz w:val="28"/>
          <w:szCs w:val="28"/>
        </w:rPr>
      </w:pPr>
    </w:p>
    <w:p w:rsidR="00CA7E85" w:rsidRPr="00572778" w:rsidRDefault="00CA7E85" w:rsidP="00725131">
      <w:pPr>
        <w:spacing w:after="0" w:line="240" w:lineRule="auto"/>
        <w:jc w:val="both"/>
        <w:rPr>
          <w:rFonts w:ascii="Times New Roman" w:hAnsi="Times New Roman" w:cs="Times New Roman"/>
          <w:sz w:val="28"/>
          <w:szCs w:val="28"/>
        </w:rPr>
      </w:pPr>
    </w:p>
    <w:p w:rsidR="007A2B13" w:rsidRDefault="00D363D9" w:rsidP="00094990">
      <w:pPr>
        <w:pStyle w:val="Paragrafoelenco"/>
        <w:numPr>
          <w:ilvl w:val="0"/>
          <w:numId w:val="2"/>
        </w:numPr>
        <w:spacing w:after="0" w:line="240" w:lineRule="auto"/>
        <w:contextualSpacing w:val="0"/>
        <w:jc w:val="both"/>
        <w:rPr>
          <w:rFonts w:ascii="Times New Roman" w:hAnsi="Times New Roman" w:cs="Times New Roman"/>
          <w:sz w:val="28"/>
          <w:szCs w:val="28"/>
        </w:rPr>
      </w:pPr>
      <w:r w:rsidRPr="008765AD">
        <w:rPr>
          <w:rFonts w:ascii="Times New Roman" w:hAnsi="Times New Roman" w:cs="Times New Roman"/>
          <w:sz w:val="28"/>
          <w:szCs w:val="28"/>
        </w:rPr>
        <w:t xml:space="preserve">DIRITTO INTERNO </w:t>
      </w:r>
      <w:r w:rsidR="008765AD" w:rsidRPr="008765AD">
        <w:rPr>
          <w:rFonts w:ascii="Times New Roman" w:hAnsi="Times New Roman" w:cs="Times New Roman"/>
          <w:sz w:val="28"/>
          <w:szCs w:val="28"/>
        </w:rPr>
        <w:t>RILEVANTE</w:t>
      </w:r>
    </w:p>
    <w:p w:rsidR="008765AD" w:rsidRPr="008765AD" w:rsidRDefault="008765AD" w:rsidP="00094990">
      <w:pPr>
        <w:pStyle w:val="Paragrafoelenco"/>
        <w:spacing w:after="0" w:line="240" w:lineRule="auto"/>
        <w:ind w:left="1080"/>
        <w:contextualSpacing w:val="0"/>
        <w:jc w:val="both"/>
        <w:rPr>
          <w:rFonts w:ascii="Times New Roman" w:hAnsi="Times New Roman" w:cs="Times New Roman"/>
          <w:sz w:val="28"/>
          <w:szCs w:val="28"/>
        </w:rPr>
      </w:pPr>
    </w:p>
    <w:p w:rsidR="006E7BC2" w:rsidRPr="00572778" w:rsidRDefault="006E7BC2" w:rsidP="00094990">
      <w:pPr>
        <w:pStyle w:val="Paragrafoelenco"/>
        <w:numPr>
          <w:ilvl w:val="0"/>
          <w:numId w:val="4"/>
        </w:numPr>
        <w:spacing w:after="0" w:line="240" w:lineRule="auto"/>
        <w:contextualSpacing w:val="0"/>
        <w:jc w:val="both"/>
        <w:rPr>
          <w:rFonts w:ascii="Times New Roman" w:hAnsi="Times New Roman" w:cs="Times New Roman"/>
          <w:b/>
          <w:sz w:val="28"/>
          <w:szCs w:val="28"/>
        </w:rPr>
      </w:pPr>
      <w:r w:rsidRPr="00572778">
        <w:rPr>
          <w:rFonts w:ascii="Times New Roman" w:hAnsi="Times New Roman" w:cs="Times New Roman"/>
          <w:b/>
          <w:sz w:val="28"/>
          <w:szCs w:val="28"/>
        </w:rPr>
        <w:t>Costituzione</w:t>
      </w:r>
    </w:p>
    <w:p w:rsidR="006E7BC2" w:rsidRPr="00572778" w:rsidRDefault="006E7BC2" w:rsidP="00094990">
      <w:pPr>
        <w:pStyle w:val="Paragrafoelenco"/>
        <w:spacing w:after="0" w:line="240" w:lineRule="auto"/>
        <w:contextualSpacing w:val="0"/>
        <w:jc w:val="both"/>
        <w:rPr>
          <w:rFonts w:ascii="Times New Roman" w:hAnsi="Times New Roman" w:cs="Times New Roman"/>
          <w:b/>
          <w:sz w:val="28"/>
          <w:szCs w:val="28"/>
        </w:rPr>
      </w:pPr>
    </w:p>
    <w:p w:rsidR="006E7BC2" w:rsidRPr="00572778" w:rsidRDefault="006E7BC2" w:rsidP="00094990">
      <w:pPr>
        <w:pStyle w:val="Paragrafoelenco"/>
        <w:numPr>
          <w:ilvl w:val="0"/>
          <w:numId w:val="1"/>
        </w:numPr>
        <w:tabs>
          <w:tab w:val="left" w:pos="993"/>
        </w:tabs>
        <w:spacing w:after="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Le disposizioni </w:t>
      </w:r>
      <w:r w:rsidR="00DC09DE">
        <w:rPr>
          <w:rFonts w:ascii="Times New Roman" w:hAnsi="Times New Roman" w:cs="Times New Roman"/>
          <w:sz w:val="28"/>
          <w:szCs w:val="28"/>
        </w:rPr>
        <w:t>rilevanti</w:t>
      </w:r>
      <w:r w:rsidRPr="00572778">
        <w:rPr>
          <w:rFonts w:ascii="Times New Roman" w:hAnsi="Times New Roman" w:cs="Times New Roman"/>
          <w:sz w:val="28"/>
          <w:szCs w:val="28"/>
        </w:rPr>
        <w:t xml:space="preserve"> della Costituzione della Repubblica di Croazia (</w:t>
      </w:r>
      <w:proofErr w:type="spellStart"/>
      <w:r w:rsidRPr="00572778">
        <w:rPr>
          <w:rFonts w:ascii="Times New Roman" w:hAnsi="Times New Roman" w:cs="Times New Roman"/>
          <w:i/>
          <w:sz w:val="28"/>
          <w:szCs w:val="28"/>
        </w:rPr>
        <w:t>Ustav</w:t>
      </w:r>
      <w:proofErr w:type="spellEnd"/>
      <w:r w:rsidRPr="00572778">
        <w:rPr>
          <w:rFonts w:ascii="Times New Roman" w:hAnsi="Times New Roman" w:cs="Times New Roman"/>
          <w:i/>
          <w:sz w:val="28"/>
          <w:szCs w:val="28"/>
        </w:rPr>
        <w:t xml:space="preserve"> </w:t>
      </w:r>
      <w:proofErr w:type="spellStart"/>
      <w:r w:rsidRPr="00572778">
        <w:rPr>
          <w:rFonts w:ascii="Times New Roman" w:hAnsi="Times New Roman" w:cs="Times New Roman"/>
          <w:i/>
          <w:sz w:val="28"/>
          <w:szCs w:val="28"/>
        </w:rPr>
        <w:t>Republike</w:t>
      </w:r>
      <w:proofErr w:type="spellEnd"/>
      <w:r w:rsidRPr="00572778">
        <w:rPr>
          <w:rFonts w:ascii="Times New Roman" w:hAnsi="Times New Roman" w:cs="Times New Roman"/>
          <w:i/>
          <w:sz w:val="28"/>
          <w:szCs w:val="28"/>
        </w:rPr>
        <w:t xml:space="preserve"> </w:t>
      </w:r>
      <w:proofErr w:type="spellStart"/>
      <w:r w:rsidRPr="00572778">
        <w:rPr>
          <w:rFonts w:ascii="Times New Roman" w:hAnsi="Times New Roman" w:cs="Times New Roman"/>
          <w:i/>
          <w:sz w:val="28"/>
          <w:szCs w:val="28"/>
        </w:rPr>
        <w:t>Hrvatske</w:t>
      </w:r>
      <w:proofErr w:type="spellEnd"/>
      <w:r w:rsidRPr="00572778">
        <w:rPr>
          <w:rFonts w:ascii="Times New Roman" w:hAnsi="Times New Roman" w:cs="Times New Roman"/>
          <w:i/>
          <w:sz w:val="28"/>
          <w:szCs w:val="28"/>
        </w:rPr>
        <w:t xml:space="preserve">, </w:t>
      </w:r>
      <w:r w:rsidR="00DC09DE">
        <w:rPr>
          <w:rFonts w:ascii="Times New Roman" w:hAnsi="Times New Roman" w:cs="Times New Roman"/>
          <w:sz w:val="28"/>
          <w:szCs w:val="28"/>
        </w:rPr>
        <w:t>Gazzette Ufficiali</w:t>
      </w:r>
      <w:r w:rsidRPr="00572778">
        <w:rPr>
          <w:rFonts w:ascii="Times New Roman" w:hAnsi="Times New Roman" w:cs="Times New Roman"/>
          <w:sz w:val="28"/>
          <w:szCs w:val="28"/>
        </w:rPr>
        <w:t xml:space="preserve"> n. 56/1990, 135/1997, 8/1998, 113/2000, 124/2000, 28/2001, 41/2001, 55/2001, 76/2010 e 85/2010) recita</w:t>
      </w:r>
      <w:r w:rsidR="00BA573F">
        <w:rPr>
          <w:rFonts w:ascii="Times New Roman" w:hAnsi="Times New Roman" w:cs="Times New Roman"/>
          <w:sz w:val="28"/>
          <w:szCs w:val="28"/>
        </w:rPr>
        <w:t>no</w:t>
      </w:r>
      <w:r w:rsidRPr="00572778">
        <w:rPr>
          <w:rFonts w:ascii="Times New Roman" w:hAnsi="Times New Roman" w:cs="Times New Roman"/>
          <w:sz w:val="28"/>
          <w:szCs w:val="28"/>
        </w:rPr>
        <w:t>:</w:t>
      </w:r>
    </w:p>
    <w:p w:rsidR="00094990" w:rsidRDefault="00094990" w:rsidP="00094990">
      <w:pPr>
        <w:spacing w:after="0" w:line="240" w:lineRule="auto"/>
        <w:ind w:left="851" w:right="851"/>
        <w:jc w:val="center"/>
        <w:rPr>
          <w:rFonts w:ascii="Times New Roman" w:hAnsi="Times New Roman" w:cs="Times New Roman"/>
          <w:b/>
          <w:sz w:val="24"/>
          <w:szCs w:val="28"/>
        </w:rPr>
      </w:pPr>
    </w:p>
    <w:p w:rsidR="006E7BC2" w:rsidRPr="00725131" w:rsidRDefault="006E7BC2" w:rsidP="00A33F69">
      <w:pPr>
        <w:spacing w:line="240" w:lineRule="auto"/>
        <w:ind w:left="851" w:right="849"/>
        <w:jc w:val="center"/>
        <w:rPr>
          <w:rFonts w:ascii="Times New Roman" w:hAnsi="Times New Roman" w:cs="Times New Roman"/>
          <w:b/>
          <w:sz w:val="24"/>
          <w:szCs w:val="28"/>
        </w:rPr>
      </w:pPr>
      <w:r w:rsidRPr="00725131">
        <w:rPr>
          <w:rFonts w:ascii="Times New Roman" w:hAnsi="Times New Roman" w:cs="Times New Roman"/>
          <w:b/>
          <w:sz w:val="24"/>
          <w:szCs w:val="28"/>
        </w:rPr>
        <w:t>Articolo 14</w:t>
      </w:r>
    </w:p>
    <w:p w:rsidR="00602A9F" w:rsidRPr="00725131" w:rsidRDefault="00602A9F" w:rsidP="00725131">
      <w:pPr>
        <w:spacing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w:t>
      </w:r>
      <w:r w:rsidR="00E22D73" w:rsidRPr="00725131">
        <w:rPr>
          <w:rFonts w:ascii="Times New Roman" w:hAnsi="Times New Roman" w:cs="Times New Roman"/>
          <w:sz w:val="24"/>
          <w:szCs w:val="28"/>
        </w:rPr>
        <w:t>Ad o</w:t>
      </w:r>
      <w:r w:rsidR="00574006" w:rsidRPr="00725131">
        <w:rPr>
          <w:rFonts w:ascii="Times New Roman" w:hAnsi="Times New Roman" w:cs="Times New Roman"/>
          <w:sz w:val="24"/>
          <w:szCs w:val="28"/>
        </w:rPr>
        <w:t>gni individuo</w:t>
      </w:r>
      <w:r w:rsidRPr="00725131">
        <w:rPr>
          <w:rFonts w:ascii="Times New Roman" w:hAnsi="Times New Roman" w:cs="Times New Roman"/>
          <w:sz w:val="24"/>
          <w:szCs w:val="28"/>
        </w:rPr>
        <w:t xml:space="preserve"> nella Repubblica di Croazia</w:t>
      </w:r>
      <w:r w:rsidR="00803B7E" w:rsidRPr="00725131">
        <w:rPr>
          <w:rFonts w:ascii="Times New Roman" w:hAnsi="Times New Roman" w:cs="Times New Roman"/>
          <w:sz w:val="24"/>
          <w:szCs w:val="28"/>
        </w:rPr>
        <w:t xml:space="preserve"> </w:t>
      </w:r>
      <w:r w:rsidR="00E22D73" w:rsidRPr="00725131">
        <w:rPr>
          <w:rFonts w:ascii="Times New Roman" w:hAnsi="Times New Roman" w:cs="Times New Roman"/>
          <w:sz w:val="24"/>
          <w:szCs w:val="28"/>
        </w:rPr>
        <w:t>spettano i</w:t>
      </w:r>
      <w:r w:rsidRPr="00725131">
        <w:rPr>
          <w:rFonts w:ascii="Times New Roman" w:hAnsi="Times New Roman" w:cs="Times New Roman"/>
          <w:sz w:val="24"/>
          <w:szCs w:val="28"/>
        </w:rPr>
        <w:t xml:space="preserve"> diritti e </w:t>
      </w:r>
      <w:r w:rsidR="00E22D73" w:rsidRPr="00725131">
        <w:rPr>
          <w:rFonts w:ascii="Times New Roman" w:hAnsi="Times New Roman" w:cs="Times New Roman"/>
          <w:sz w:val="24"/>
          <w:szCs w:val="28"/>
        </w:rPr>
        <w:t>le</w:t>
      </w:r>
      <w:r w:rsidRPr="00725131">
        <w:rPr>
          <w:rFonts w:ascii="Times New Roman" w:hAnsi="Times New Roman" w:cs="Times New Roman"/>
          <w:sz w:val="24"/>
          <w:szCs w:val="28"/>
        </w:rPr>
        <w:t xml:space="preserve"> libertà </w:t>
      </w:r>
      <w:r w:rsidR="00E22D73" w:rsidRPr="00725131">
        <w:rPr>
          <w:rFonts w:ascii="Times New Roman" w:hAnsi="Times New Roman" w:cs="Times New Roman"/>
          <w:sz w:val="24"/>
          <w:szCs w:val="28"/>
        </w:rPr>
        <w:t>indipendentemente dalla</w:t>
      </w:r>
      <w:r w:rsidRPr="00725131">
        <w:rPr>
          <w:rFonts w:ascii="Times New Roman" w:hAnsi="Times New Roman" w:cs="Times New Roman"/>
          <w:sz w:val="24"/>
          <w:szCs w:val="28"/>
        </w:rPr>
        <w:t xml:space="preserve"> razza, </w:t>
      </w:r>
      <w:proofErr w:type="spellStart"/>
      <w:r w:rsidRPr="00725131">
        <w:rPr>
          <w:rFonts w:ascii="Times New Roman" w:hAnsi="Times New Roman" w:cs="Times New Roman"/>
          <w:sz w:val="24"/>
          <w:szCs w:val="28"/>
        </w:rPr>
        <w:t>colore,sesso</w:t>
      </w:r>
      <w:proofErr w:type="spellEnd"/>
      <w:r w:rsidRPr="00725131">
        <w:rPr>
          <w:rFonts w:ascii="Times New Roman" w:hAnsi="Times New Roman" w:cs="Times New Roman"/>
          <w:sz w:val="24"/>
          <w:szCs w:val="28"/>
        </w:rPr>
        <w:t xml:space="preserve">, religione, </w:t>
      </w:r>
      <w:r w:rsidR="00404282" w:rsidRPr="00725131">
        <w:rPr>
          <w:rFonts w:ascii="Times New Roman" w:hAnsi="Times New Roman" w:cs="Times New Roman"/>
          <w:sz w:val="24"/>
          <w:szCs w:val="28"/>
        </w:rPr>
        <w:t>o altri credi politici, origini nazionali o sociali, beni, nascita, istruzione, status sociale o altre caratteristiche.</w:t>
      </w:r>
    </w:p>
    <w:p w:rsidR="00404282" w:rsidRPr="00725131" w:rsidRDefault="00404282" w:rsidP="00725131">
      <w:pPr>
        <w:spacing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Tutti devono essere uguali di fronte alla legge”.</w:t>
      </w:r>
    </w:p>
    <w:p w:rsidR="00DE4E8A" w:rsidRPr="00725131" w:rsidRDefault="00404282" w:rsidP="00094990">
      <w:pPr>
        <w:spacing w:after="0" w:line="240" w:lineRule="auto"/>
        <w:ind w:left="851" w:right="851"/>
        <w:jc w:val="both"/>
        <w:rPr>
          <w:rFonts w:ascii="Times New Roman" w:hAnsi="Times New Roman" w:cs="Times New Roman"/>
          <w:sz w:val="24"/>
          <w:szCs w:val="28"/>
        </w:rPr>
      </w:pPr>
      <w:r w:rsidRPr="00725131">
        <w:rPr>
          <w:rFonts w:ascii="Times New Roman" w:hAnsi="Times New Roman" w:cs="Times New Roman"/>
          <w:sz w:val="24"/>
          <w:szCs w:val="28"/>
        </w:rPr>
        <w:t>….”</w:t>
      </w:r>
    </w:p>
    <w:p w:rsidR="00E22D73" w:rsidRPr="00725131" w:rsidRDefault="00E22D73" w:rsidP="00094990">
      <w:pPr>
        <w:spacing w:after="0" w:line="240" w:lineRule="auto"/>
        <w:ind w:left="851" w:right="851"/>
        <w:jc w:val="both"/>
        <w:rPr>
          <w:rFonts w:ascii="Times New Roman" w:hAnsi="Times New Roman" w:cs="Times New Roman"/>
          <w:b/>
          <w:sz w:val="24"/>
          <w:szCs w:val="28"/>
        </w:rPr>
      </w:pPr>
    </w:p>
    <w:p w:rsidR="00404282" w:rsidRPr="00725131" w:rsidRDefault="00404282" w:rsidP="00A33F69">
      <w:pPr>
        <w:spacing w:line="240" w:lineRule="auto"/>
        <w:ind w:left="851" w:right="849"/>
        <w:jc w:val="center"/>
        <w:rPr>
          <w:rFonts w:ascii="Times New Roman" w:hAnsi="Times New Roman" w:cs="Times New Roman"/>
          <w:b/>
          <w:sz w:val="24"/>
          <w:szCs w:val="28"/>
        </w:rPr>
      </w:pPr>
      <w:r w:rsidRPr="00725131">
        <w:rPr>
          <w:rFonts w:ascii="Times New Roman" w:hAnsi="Times New Roman" w:cs="Times New Roman"/>
          <w:b/>
          <w:sz w:val="24"/>
          <w:szCs w:val="28"/>
        </w:rPr>
        <w:t>Articolo 23</w:t>
      </w:r>
    </w:p>
    <w:p w:rsidR="00404282" w:rsidRPr="00725131" w:rsidRDefault="00404282" w:rsidP="00725131">
      <w:pPr>
        <w:spacing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“Nessuno deve essere sottoposto</w:t>
      </w:r>
      <w:r w:rsidR="00D20EE5" w:rsidRPr="00725131">
        <w:rPr>
          <w:rFonts w:ascii="Times New Roman" w:hAnsi="Times New Roman" w:cs="Times New Roman"/>
          <w:sz w:val="24"/>
          <w:szCs w:val="28"/>
        </w:rPr>
        <w:t xml:space="preserve"> ad alcuna forma di maltrattamento….”</w:t>
      </w:r>
    </w:p>
    <w:p w:rsidR="00D20EE5" w:rsidRPr="00725131" w:rsidRDefault="00D20EE5" w:rsidP="00A33F69">
      <w:pPr>
        <w:spacing w:line="240" w:lineRule="auto"/>
        <w:ind w:left="851" w:right="849"/>
        <w:jc w:val="center"/>
        <w:rPr>
          <w:rFonts w:ascii="Times New Roman" w:hAnsi="Times New Roman" w:cs="Times New Roman"/>
          <w:b/>
          <w:sz w:val="24"/>
          <w:szCs w:val="28"/>
        </w:rPr>
      </w:pPr>
      <w:r w:rsidRPr="00725131">
        <w:rPr>
          <w:rFonts w:ascii="Times New Roman" w:hAnsi="Times New Roman" w:cs="Times New Roman"/>
          <w:b/>
          <w:sz w:val="24"/>
          <w:szCs w:val="28"/>
        </w:rPr>
        <w:t>Articolo 25</w:t>
      </w:r>
    </w:p>
    <w:p w:rsidR="00D20EE5" w:rsidRPr="00725131" w:rsidRDefault="00D20EE5" w:rsidP="00725131">
      <w:pPr>
        <w:spacing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“Tutti i detenuti ed i condannati devono essere trattati in modo umano e nel rispetto della loro dignità.”</w:t>
      </w:r>
    </w:p>
    <w:p w:rsidR="00D20EE5" w:rsidRPr="00725131" w:rsidRDefault="00D20EE5" w:rsidP="00A33F69">
      <w:pPr>
        <w:spacing w:line="240" w:lineRule="auto"/>
        <w:ind w:left="851" w:right="849"/>
        <w:jc w:val="center"/>
        <w:rPr>
          <w:rFonts w:ascii="Times New Roman" w:hAnsi="Times New Roman" w:cs="Times New Roman"/>
          <w:b/>
          <w:sz w:val="24"/>
          <w:szCs w:val="28"/>
        </w:rPr>
      </w:pPr>
      <w:r w:rsidRPr="00725131">
        <w:rPr>
          <w:rFonts w:ascii="Times New Roman" w:hAnsi="Times New Roman" w:cs="Times New Roman"/>
          <w:b/>
          <w:sz w:val="24"/>
          <w:szCs w:val="28"/>
        </w:rPr>
        <w:t>Articolo 26</w:t>
      </w:r>
    </w:p>
    <w:p w:rsidR="007E0A82" w:rsidRPr="00725131" w:rsidRDefault="007E0A82" w:rsidP="00725131">
      <w:pPr>
        <w:spacing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“Tutti i cittadini della Repubblica di Croazia e gli st</w:t>
      </w:r>
      <w:r w:rsidR="0071226D" w:rsidRPr="00725131">
        <w:rPr>
          <w:rFonts w:ascii="Times New Roman" w:hAnsi="Times New Roman" w:cs="Times New Roman"/>
          <w:sz w:val="24"/>
          <w:szCs w:val="28"/>
        </w:rPr>
        <w:t xml:space="preserve">ranieri devono essere uguali davanti </w:t>
      </w:r>
      <w:r w:rsidRPr="00725131">
        <w:rPr>
          <w:rFonts w:ascii="Times New Roman" w:hAnsi="Times New Roman" w:cs="Times New Roman"/>
          <w:sz w:val="24"/>
          <w:szCs w:val="28"/>
        </w:rPr>
        <w:t>a</w:t>
      </w:r>
      <w:r w:rsidR="000B5DDA" w:rsidRPr="00725131">
        <w:rPr>
          <w:rFonts w:ascii="Times New Roman" w:hAnsi="Times New Roman" w:cs="Times New Roman"/>
          <w:sz w:val="24"/>
          <w:szCs w:val="28"/>
        </w:rPr>
        <w:t>lle corti</w:t>
      </w:r>
      <w:r w:rsidRPr="00725131">
        <w:rPr>
          <w:rFonts w:ascii="Times New Roman" w:hAnsi="Times New Roman" w:cs="Times New Roman"/>
          <w:sz w:val="24"/>
          <w:szCs w:val="28"/>
        </w:rPr>
        <w:t xml:space="preserve"> e</w:t>
      </w:r>
      <w:r w:rsidR="0071226D" w:rsidRPr="00725131">
        <w:rPr>
          <w:rFonts w:ascii="Times New Roman" w:hAnsi="Times New Roman" w:cs="Times New Roman"/>
          <w:sz w:val="24"/>
          <w:szCs w:val="28"/>
        </w:rPr>
        <w:t xml:space="preserve"> a</w:t>
      </w:r>
      <w:r w:rsidRPr="00725131">
        <w:rPr>
          <w:rFonts w:ascii="Times New Roman" w:hAnsi="Times New Roman" w:cs="Times New Roman"/>
          <w:sz w:val="24"/>
          <w:szCs w:val="28"/>
        </w:rPr>
        <w:t>d altri Stati o autorità pubbliche.”</w:t>
      </w:r>
    </w:p>
    <w:p w:rsidR="007E0A82" w:rsidRPr="00725131" w:rsidRDefault="007E0A82" w:rsidP="00A33F69">
      <w:pPr>
        <w:spacing w:line="240" w:lineRule="auto"/>
        <w:ind w:left="851" w:right="849"/>
        <w:jc w:val="center"/>
        <w:rPr>
          <w:rFonts w:ascii="Times New Roman" w:hAnsi="Times New Roman" w:cs="Times New Roman"/>
          <w:b/>
          <w:sz w:val="24"/>
          <w:szCs w:val="28"/>
        </w:rPr>
      </w:pPr>
      <w:r w:rsidRPr="00725131">
        <w:rPr>
          <w:rFonts w:ascii="Times New Roman" w:hAnsi="Times New Roman" w:cs="Times New Roman"/>
          <w:b/>
          <w:sz w:val="24"/>
          <w:szCs w:val="28"/>
        </w:rPr>
        <w:t>Articolo 29</w:t>
      </w:r>
    </w:p>
    <w:p w:rsidR="007E0A82" w:rsidRPr="00725131" w:rsidRDefault="007E0A82" w:rsidP="00010089">
      <w:pPr>
        <w:spacing w:after="0" w:line="240" w:lineRule="auto"/>
        <w:ind w:left="851" w:right="849"/>
        <w:jc w:val="both"/>
        <w:rPr>
          <w:rFonts w:ascii="Times New Roman" w:hAnsi="Times New Roman" w:cs="Times New Roman"/>
          <w:sz w:val="24"/>
          <w:szCs w:val="28"/>
        </w:rPr>
      </w:pPr>
      <w:r w:rsidRPr="00725131">
        <w:rPr>
          <w:rFonts w:ascii="Times New Roman" w:hAnsi="Times New Roman" w:cs="Times New Roman"/>
          <w:sz w:val="24"/>
          <w:szCs w:val="28"/>
        </w:rPr>
        <w:t xml:space="preserve">“Nella </w:t>
      </w:r>
      <w:r w:rsidR="008D341C" w:rsidRPr="00725131">
        <w:rPr>
          <w:rFonts w:ascii="Times New Roman" w:hAnsi="Times New Roman" w:cs="Times New Roman"/>
          <w:sz w:val="24"/>
          <w:szCs w:val="28"/>
        </w:rPr>
        <w:t>determinazione dei propri diritti ed obblighi o di accuse penali contro di lui, ognuno ha il</w:t>
      </w:r>
      <w:r w:rsidR="00AB1E87" w:rsidRPr="00725131">
        <w:rPr>
          <w:rFonts w:ascii="Times New Roman" w:hAnsi="Times New Roman" w:cs="Times New Roman"/>
          <w:sz w:val="24"/>
          <w:szCs w:val="28"/>
        </w:rPr>
        <w:t xml:space="preserve"> diritto ad un equo processo </w:t>
      </w:r>
      <w:r w:rsidR="008D341C" w:rsidRPr="00725131">
        <w:rPr>
          <w:rFonts w:ascii="Times New Roman" w:hAnsi="Times New Roman" w:cs="Times New Roman"/>
          <w:sz w:val="24"/>
          <w:szCs w:val="28"/>
        </w:rPr>
        <w:t>entro un ragionevole periodo di tempo da parte di un</w:t>
      </w:r>
      <w:r w:rsidR="00AB1E87" w:rsidRPr="00725131">
        <w:rPr>
          <w:rFonts w:ascii="Times New Roman" w:hAnsi="Times New Roman" w:cs="Times New Roman"/>
          <w:sz w:val="24"/>
          <w:szCs w:val="28"/>
        </w:rPr>
        <w:t>a corte</w:t>
      </w:r>
      <w:r w:rsidR="008D341C" w:rsidRPr="00725131">
        <w:rPr>
          <w:rFonts w:ascii="Times New Roman" w:hAnsi="Times New Roman" w:cs="Times New Roman"/>
          <w:sz w:val="24"/>
          <w:szCs w:val="28"/>
        </w:rPr>
        <w:t xml:space="preserve"> indip</w:t>
      </w:r>
      <w:r w:rsidR="00AB1E87" w:rsidRPr="00725131">
        <w:rPr>
          <w:rFonts w:ascii="Times New Roman" w:hAnsi="Times New Roman" w:cs="Times New Roman"/>
          <w:sz w:val="24"/>
          <w:szCs w:val="28"/>
        </w:rPr>
        <w:t xml:space="preserve">endente ed imparziale stabilita </w:t>
      </w:r>
      <w:r w:rsidR="008D341C" w:rsidRPr="00725131">
        <w:rPr>
          <w:rFonts w:ascii="Times New Roman" w:hAnsi="Times New Roman" w:cs="Times New Roman"/>
          <w:sz w:val="24"/>
          <w:szCs w:val="28"/>
        </w:rPr>
        <w:t>dalla legge.”</w:t>
      </w:r>
    </w:p>
    <w:p w:rsidR="008D341C" w:rsidRPr="00572778" w:rsidRDefault="008D341C" w:rsidP="00010089">
      <w:pPr>
        <w:spacing w:after="0" w:line="240" w:lineRule="auto"/>
        <w:rPr>
          <w:rFonts w:ascii="Times New Roman" w:hAnsi="Times New Roman" w:cs="Times New Roman"/>
          <w:sz w:val="28"/>
          <w:szCs w:val="28"/>
        </w:rPr>
      </w:pPr>
    </w:p>
    <w:p w:rsidR="008D341C" w:rsidRPr="00572778" w:rsidRDefault="008D341C" w:rsidP="00A33F69">
      <w:pPr>
        <w:pStyle w:val="Paragrafoelenco"/>
        <w:numPr>
          <w:ilvl w:val="0"/>
          <w:numId w:val="1"/>
        </w:numPr>
        <w:tabs>
          <w:tab w:val="left" w:pos="993"/>
        </w:tabs>
        <w:spacing w:line="240" w:lineRule="auto"/>
        <w:ind w:left="284" w:firstLine="142"/>
        <w:rPr>
          <w:rFonts w:ascii="Times New Roman" w:hAnsi="Times New Roman" w:cs="Times New Roman"/>
          <w:sz w:val="28"/>
          <w:szCs w:val="28"/>
        </w:rPr>
      </w:pPr>
      <w:r w:rsidRPr="00572778">
        <w:rPr>
          <w:rFonts w:ascii="Times New Roman" w:hAnsi="Times New Roman" w:cs="Times New Roman"/>
          <w:sz w:val="28"/>
          <w:szCs w:val="28"/>
        </w:rPr>
        <w:t xml:space="preserve">La parte </w:t>
      </w:r>
      <w:r w:rsidR="00DA128A">
        <w:rPr>
          <w:rFonts w:ascii="Times New Roman" w:hAnsi="Times New Roman" w:cs="Times New Roman"/>
          <w:sz w:val="28"/>
          <w:szCs w:val="28"/>
        </w:rPr>
        <w:t>rilevante</w:t>
      </w:r>
      <w:r w:rsidRPr="00572778">
        <w:rPr>
          <w:rFonts w:ascii="Times New Roman" w:hAnsi="Times New Roman" w:cs="Times New Roman"/>
          <w:sz w:val="28"/>
          <w:szCs w:val="28"/>
        </w:rPr>
        <w:t xml:space="preserve"> della sezione 62 dell’Atto della Corte Costituzionale (</w:t>
      </w:r>
      <w:proofErr w:type="spellStart"/>
      <w:r w:rsidRPr="008E5164">
        <w:rPr>
          <w:rFonts w:ascii="Times New Roman" w:hAnsi="Times New Roman" w:cs="Times New Roman"/>
          <w:i/>
          <w:sz w:val="28"/>
          <w:szCs w:val="28"/>
        </w:rPr>
        <w:t>Ustavni</w:t>
      </w:r>
      <w:proofErr w:type="spellEnd"/>
      <w:r w:rsidRPr="008E5164">
        <w:rPr>
          <w:rFonts w:ascii="Times New Roman" w:hAnsi="Times New Roman" w:cs="Times New Roman"/>
          <w:i/>
          <w:sz w:val="28"/>
          <w:szCs w:val="28"/>
        </w:rPr>
        <w:t xml:space="preserve"> </w:t>
      </w:r>
      <w:proofErr w:type="spellStart"/>
      <w:r w:rsidRPr="008E5164">
        <w:rPr>
          <w:rFonts w:ascii="Times New Roman" w:hAnsi="Times New Roman" w:cs="Times New Roman"/>
          <w:i/>
          <w:sz w:val="28"/>
          <w:szCs w:val="28"/>
        </w:rPr>
        <w:t>zakon</w:t>
      </w:r>
      <w:proofErr w:type="spellEnd"/>
      <w:r w:rsidRPr="008E5164">
        <w:rPr>
          <w:rFonts w:ascii="Times New Roman" w:hAnsi="Times New Roman" w:cs="Times New Roman"/>
          <w:i/>
          <w:sz w:val="28"/>
          <w:szCs w:val="28"/>
        </w:rPr>
        <w:t xml:space="preserve"> o </w:t>
      </w:r>
      <w:proofErr w:type="spellStart"/>
      <w:r w:rsidRPr="008E5164">
        <w:rPr>
          <w:rFonts w:ascii="Times New Roman" w:hAnsi="Times New Roman" w:cs="Times New Roman"/>
          <w:i/>
          <w:sz w:val="28"/>
          <w:szCs w:val="28"/>
        </w:rPr>
        <w:t>Ustavnom</w:t>
      </w:r>
      <w:proofErr w:type="spellEnd"/>
      <w:r w:rsidRPr="008E5164">
        <w:rPr>
          <w:rFonts w:ascii="Times New Roman" w:hAnsi="Times New Roman" w:cs="Times New Roman"/>
          <w:i/>
          <w:sz w:val="28"/>
          <w:szCs w:val="28"/>
        </w:rPr>
        <w:t xml:space="preserve"> su</w:t>
      </w:r>
      <w:r w:rsidR="00AB1E87" w:rsidRPr="008E5164">
        <w:rPr>
          <w:rFonts w:ascii="Times New Roman" w:hAnsi="Times New Roman" w:cs="Times New Roman"/>
          <w:i/>
          <w:sz w:val="28"/>
          <w:szCs w:val="28"/>
        </w:rPr>
        <w:t xml:space="preserve"> </w:t>
      </w:r>
      <w:proofErr w:type="spellStart"/>
      <w:r w:rsidRPr="008E5164">
        <w:rPr>
          <w:rFonts w:ascii="Times New Roman" w:hAnsi="Times New Roman" w:cs="Times New Roman"/>
          <w:i/>
          <w:sz w:val="28"/>
          <w:szCs w:val="28"/>
        </w:rPr>
        <w:t>du</w:t>
      </w:r>
      <w:proofErr w:type="spellEnd"/>
      <w:r w:rsidRPr="008E5164">
        <w:rPr>
          <w:rFonts w:ascii="Times New Roman" w:hAnsi="Times New Roman" w:cs="Times New Roman"/>
          <w:i/>
          <w:sz w:val="28"/>
          <w:szCs w:val="28"/>
        </w:rPr>
        <w:t xml:space="preserve"> </w:t>
      </w:r>
      <w:proofErr w:type="spellStart"/>
      <w:r w:rsidRPr="008E5164">
        <w:rPr>
          <w:rFonts w:ascii="Times New Roman" w:hAnsi="Times New Roman" w:cs="Times New Roman"/>
          <w:i/>
          <w:sz w:val="28"/>
          <w:szCs w:val="28"/>
        </w:rPr>
        <w:t>Republike</w:t>
      </w:r>
      <w:proofErr w:type="spellEnd"/>
      <w:r w:rsidRPr="008E5164">
        <w:rPr>
          <w:rFonts w:ascii="Times New Roman" w:hAnsi="Times New Roman" w:cs="Times New Roman"/>
          <w:i/>
          <w:sz w:val="28"/>
          <w:szCs w:val="28"/>
        </w:rPr>
        <w:t xml:space="preserve"> </w:t>
      </w:r>
      <w:proofErr w:type="spellStart"/>
      <w:r w:rsidRPr="008E5164">
        <w:rPr>
          <w:rFonts w:ascii="Times New Roman" w:hAnsi="Times New Roman" w:cs="Times New Roman"/>
          <w:i/>
          <w:sz w:val="28"/>
          <w:szCs w:val="28"/>
        </w:rPr>
        <w:t>Hrvatske</w:t>
      </w:r>
      <w:proofErr w:type="spellEnd"/>
      <w:r w:rsidRPr="00572778">
        <w:rPr>
          <w:rFonts w:ascii="Times New Roman" w:hAnsi="Times New Roman" w:cs="Times New Roman"/>
          <w:sz w:val="28"/>
          <w:szCs w:val="28"/>
        </w:rPr>
        <w:t>, Gazzette Ufficiali n. 99/1999, 29/2002, 49/2002) recita:</w:t>
      </w:r>
    </w:p>
    <w:p w:rsidR="008D341C" w:rsidRPr="00A33F69" w:rsidRDefault="008D341C" w:rsidP="00010089">
      <w:pPr>
        <w:spacing w:after="0" w:line="240" w:lineRule="auto"/>
        <w:ind w:left="851" w:right="849"/>
        <w:jc w:val="both"/>
        <w:rPr>
          <w:rFonts w:ascii="Times New Roman" w:hAnsi="Times New Roman" w:cs="Times New Roman"/>
          <w:sz w:val="24"/>
          <w:szCs w:val="28"/>
        </w:rPr>
      </w:pPr>
      <w:r w:rsidRPr="00A33F69">
        <w:rPr>
          <w:rFonts w:ascii="Times New Roman" w:hAnsi="Times New Roman" w:cs="Times New Roman"/>
          <w:sz w:val="24"/>
          <w:szCs w:val="28"/>
        </w:rPr>
        <w:t>“1. Chiunque può presentare un reclamo costituzionale alla Corte Costituzionale se egli/essa ritiene che una decisione (</w:t>
      </w:r>
      <w:proofErr w:type="spellStart"/>
      <w:r w:rsidRPr="00A33F69">
        <w:rPr>
          <w:rFonts w:ascii="Times New Roman" w:hAnsi="Times New Roman" w:cs="Times New Roman"/>
          <w:i/>
          <w:sz w:val="24"/>
          <w:szCs w:val="28"/>
        </w:rPr>
        <w:t>pojedina</w:t>
      </w:r>
      <w:r w:rsidR="00084BB9" w:rsidRPr="00A33F69">
        <w:rPr>
          <w:rFonts w:ascii="Times New Roman" w:hAnsi="Times New Roman" w:cs="Times New Roman"/>
          <w:i/>
          <w:sz w:val="24"/>
          <w:szCs w:val="28"/>
        </w:rPr>
        <w:t>čni</w:t>
      </w:r>
      <w:proofErr w:type="spellEnd"/>
      <w:r w:rsidR="00084BB9" w:rsidRPr="00A33F69">
        <w:rPr>
          <w:rFonts w:ascii="Times New Roman" w:hAnsi="Times New Roman" w:cs="Times New Roman"/>
          <w:i/>
          <w:sz w:val="24"/>
          <w:szCs w:val="28"/>
        </w:rPr>
        <w:t xml:space="preserve"> </w:t>
      </w:r>
      <w:proofErr w:type="spellStart"/>
      <w:r w:rsidR="00084BB9" w:rsidRPr="00A33F69">
        <w:rPr>
          <w:rFonts w:ascii="Times New Roman" w:hAnsi="Times New Roman" w:cs="Times New Roman"/>
          <w:i/>
          <w:sz w:val="24"/>
          <w:szCs w:val="28"/>
        </w:rPr>
        <w:t>akt</w:t>
      </w:r>
      <w:proofErr w:type="spellEnd"/>
      <w:r w:rsidR="00084BB9" w:rsidRPr="00A33F69">
        <w:rPr>
          <w:rFonts w:ascii="Times New Roman" w:hAnsi="Times New Roman" w:cs="Times New Roman"/>
          <w:i/>
          <w:sz w:val="24"/>
          <w:szCs w:val="28"/>
        </w:rPr>
        <w:t>)</w:t>
      </w:r>
      <w:r w:rsidR="00084BB9" w:rsidRPr="00A33F69">
        <w:rPr>
          <w:rFonts w:ascii="Times New Roman" w:hAnsi="Times New Roman" w:cs="Times New Roman"/>
          <w:sz w:val="24"/>
          <w:szCs w:val="28"/>
        </w:rPr>
        <w:t xml:space="preserve"> di un </w:t>
      </w:r>
      <w:r w:rsidR="0067257F" w:rsidRPr="00A33F69">
        <w:rPr>
          <w:rFonts w:ascii="Times New Roman" w:hAnsi="Times New Roman" w:cs="Times New Roman"/>
          <w:sz w:val="24"/>
          <w:szCs w:val="28"/>
        </w:rPr>
        <w:t xml:space="preserve">ente statale, </w:t>
      </w:r>
      <w:r w:rsidR="002C70D2" w:rsidRPr="00A33F69">
        <w:rPr>
          <w:rFonts w:ascii="Times New Roman" w:hAnsi="Times New Roman" w:cs="Times New Roman"/>
          <w:sz w:val="24"/>
          <w:szCs w:val="28"/>
        </w:rPr>
        <w:t xml:space="preserve">di </w:t>
      </w:r>
      <w:r w:rsidR="0067257F" w:rsidRPr="00A33F69">
        <w:rPr>
          <w:rFonts w:ascii="Times New Roman" w:hAnsi="Times New Roman" w:cs="Times New Roman"/>
          <w:sz w:val="24"/>
          <w:szCs w:val="28"/>
        </w:rPr>
        <w:t>un ente di autogoverno regionale e locale, o</w:t>
      </w:r>
      <w:r w:rsidR="002C70D2" w:rsidRPr="00A33F69">
        <w:rPr>
          <w:rFonts w:ascii="Times New Roman" w:hAnsi="Times New Roman" w:cs="Times New Roman"/>
          <w:sz w:val="24"/>
          <w:szCs w:val="28"/>
        </w:rPr>
        <w:t xml:space="preserve"> di</w:t>
      </w:r>
      <w:r w:rsidR="0067257F" w:rsidRPr="00A33F69">
        <w:rPr>
          <w:rFonts w:ascii="Times New Roman" w:hAnsi="Times New Roman" w:cs="Times New Roman"/>
          <w:sz w:val="24"/>
          <w:szCs w:val="28"/>
        </w:rPr>
        <w:t xml:space="preserve"> una persona giuridica con autorità pubblica, che ha deciso dei suoi diritti e obblighi, o di un</w:t>
      </w:r>
      <w:r w:rsidR="008D19E9" w:rsidRPr="00A33F69">
        <w:rPr>
          <w:rFonts w:ascii="Times New Roman" w:hAnsi="Times New Roman" w:cs="Times New Roman"/>
          <w:sz w:val="24"/>
          <w:szCs w:val="28"/>
        </w:rPr>
        <w:t xml:space="preserve"> s</w:t>
      </w:r>
      <w:r w:rsidR="002C70D2" w:rsidRPr="00A33F69">
        <w:rPr>
          <w:rFonts w:ascii="Times New Roman" w:hAnsi="Times New Roman" w:cs="Times New Roman"/>
          <w:sz w:val="24"/>
          <w:szCs w:val="28"/>
        </w:rPr>
        <w:t>ospett</w:t>
      </w:r>
      <w:r w:rsidR="008D19E9" w:rsidRPr="00A33F69">
        <w:rPr>
          <w:rFonts w:ascii="Times New Roman" w:hAnsi="Times New Roman" w:cs="Times New Roman"/>
          <w:sz w:val="24"/>
          <w:szCs w:val="28"/>
        </w:rPr>
        <w:t>o</w:t>
      </w:r>
      <w:r w:rsidR="0067257F" w:rsidRPr="00A33F69">
        <w:rPr>
          <w:rFonts w:ascii="Times New Roman" w:hAnsi="Times New Roman" w:cs="Times New Roman"/>
          <w:sz w:val="24"/>
          <w:szCs w:val="28"/>
        </w:rPr>
        <w:t xml:space="preserve"> o accusa di atto criminale, </w:t>
      </w:r>
      <w:r w:rsidR="002C70D2" w:rsidRPr="00A33F69">
        <w:rPr>
          <w:rFonts w:ascii="Times New Roman" w:hAnsi="Times New Roman" w:cs="Times New Roman"/>
          <w:sz w:val="24"/>
          <w:szCs w:val="28"/>
        </w:rPr>
        <w:t>abbia</w:t>
      </w:r>
      <w:r w:rsidR="0067257F" w:rsidRPr="00A33F69">
        <w:rPr>
          <w:rFonts w:ascii="Times New Roman" w:hAnsi="Times New Roman" w:cs="Times New Roman"/>
          <w:sz w:val="24"/>
          <w:szCs w:val="28"/>
        </w:rPr>
        <w:t xml:space="preserve"> violato i </w:t>
      </w:r>
      <w:r w:rsidR="00B44173" w:rsidRPr="00A33F69">
        <w:rPr>
          <w:rFonts w:ascii="Times New Roman" w:hAnsi="Times New Roman" w:cs="Times New Roman"/>
          <w:sz w:val="24"/>
          <w:szCs w:val="28"/>
        </w:rPr>
        <w:t>suoi</w:t>
      </w:r>
      <w:r w:rsidR="0067257F" w:rsidRPr="00A33F69">
        <w:rPr>
          <w:rFonts w:ascii="Times New Roman" w:hAnsi="Times New Roman" w:cs="Times New Roman"/>
          <w:sz w:val="24"/>
          <w:szCs w:val="28"/>
        </w:rPr>
        <w:t xml:space="preserve"> diritti umani o libertà fondamentali, o il suo diritto ad un autogoverno locale e regionale garantito dalla Costituzione (</w:t>
      </w:r>
      <w:r w:rsidR="007D04DE" w:rsidRPr="00A33F69">
        <w:rPr>
          <w:rFonts w:ascii="Times New Roman" w:hAnsi="Times New Roman" w:cs="Times New Roman"/>
          <w:sz w:val="24"/>
          <w:szCs w:val="28"/>
        </w:rPr>
        <w:t xml:space="preserve">di seguito “diritto costituzionale”) </w:t>
      </w:r>
      <w:r w:rsidR="003D25DE" w:rsidRPr="00A33F69">
        <w:rPr>
          <w:rFonts w:ascii="Times New Roman" w:hAnsi="Times New Roman" w:cs="Times New Roman"/>
          <w:sz w:val="24"/>
          <w:szCs w:val="28"/>
        </w:rPr>
        <w:t>….”</w:t>
      </w:r>
    </w:p>
    <w:p w:rsidR="0024196F" w:rsidRDefault="0024196F" w:rsidP="00010089">
      <w:pPr>
        <w:pStyle w:val="Paragrafoelenco"/>
        <w:spacing w:after="0" w:line="240" w:lineRule="auto"/>
        <w:jc w:val="both"/>
        <w:rPr>
          <w:rFonts w:ascii="Times New Roman" w:hAnsi="Times New Roman" w:cs="Times New Roman"/>
          <w:b/>
          <w:sz w:val="28"/>
          <w:szCs w:val="28"/>
        </w:rPr>
      </w:pPr>
    </w:p>
    <w:p w:rsidR="003D25DE" w:rsidRPr="00572778" w:rsidRDefault="009A2C64" w:rsidP="003D25DE">
      <w:pPr>
        <w:pStyle w:val="Paragrafoelenco"/>
        <w:numPr>
          <w:ilvl w:val="0"/>
          <w:numId w:val="4"/>
        </w:numPr>
        <w:spacing w:line="240" w:lineRule="auto"/>
        <w:jc w:val="both"/>
        <w:rPr>
          <w:rFonts w:ascii="Times New Roman" w:hAnsi="Times New Roman" w:cs="Times New Roman"/>
          <w:b/>
          <w:sz w:val="28"/>
          <w:szCs w:val="28"/>
        </w:rPr>
      </w:pPr>
      <w:r>
        <w:rPr>
          <w:rFonts w:ascii="Times New Roman" w:hAnsi="Times New Roman" w:cs="Times New Roman"/>
          <w:b/>
          <w:sz w:val="28"/>
          <w:szCs w:val="28"/>
        </w:rPr>
        <w:t>Legge sull’esecuzione penale</w:t>
      </w:r>
    </w:p>
    <w:p w:rsidR="009A7ED8" w:rsidRPr="00572778" w:rsidRDefault="009A7ED8" w:rsidP="009A7ED8">
      <w:pPr>
        <w:pStyle w:val="Paragrafoelenco"/>
        <w:spacing w:line="240" w:lineRule="auto"/>
        <w:jc w:val="both"/>
        <w:rPr>
          <w:rFonts w:ascii="Times New Roman" w:hAnsi="Times New Roman" w:cs="Times New Roman"/>
          <w:b/>
          <w:sz w:val="28"/>
          <w:szCs w:val="28"/>
        </w:rPr>
      </w:pPr>
    </w:p>
    <w:p w:rsidR="009A7ED8" w:rsidRPr="00572778" w:rsidRDefault="009A2C64" w:rsidP="002F7458">
      <w:pPr>
        <w:pStyle w:val="Paragrafoelenco"/>
        <w:numPr>
          <w:ilvl w:val="0"/>
          <w:numId w:val="1"/>
        </w:numPr>
        <w:tabs>
          <w:tab w:val="left" w:pos="993"/>
        </w:tabs>
        <w:spacing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Le disposizioni </w:t>
      </w:r>
      <w:r w:rsidR="00F26C61">
        <w:rPr>
          <w:rFonts w:ascii="Times New Roman" w:hAnsi="Times New Roman" w:cs="Times New Roman"/>
          <w:sz w:val="28"/>
          <w:szCs w:val="28"/>
        </w:rPr>
        <w:t xml:space="preserve">rilevanti </w:t>
      </w:r>
      <w:r>
        <w:rPr>
          <w:rFonts w:ascii="Times New Roman" w:hAnsi="Times New Roman" w:cs="Times New Roman"/>
          <w:sz w:val="28"/>
          <w:szCs w:val="28"/>
        </w:rPr>
        <w:t>della legge sull’esecuzione penale</w:t>
      </w:r>
      <w:r w:rsidR="000533CD" w:rsidRPr="00572778">
        <w:rPr>
          <w:rFonts w:ascii="Times New Roman" w:hAnsi="Times New Roman" w:cs="Times New Roman"/>
          <w:sz w:val="28"/>
          <w:szCs w:val="28"/>
        </w:rPr>
        <w:t xml:space="preserve"> (</w:t>
      </w:r>
      <w:proofErr w:type="spellStart"/>
      <w:r w:rsidR="000533CD" w:rsidRPr="008E5164">
        <w:rPr>
          <w:rFonts w:ascii="Times New Roman" w:hAnsi="Times New Roman" w:cs="Times New Roman"/>
          <w:i/>
          <w:sz w:val="28"/>
          <w:szCs w:val="28"/>
        </w:rPr>
        <w:t>Zakon</w:t>
      </w:r>
      <w:proofErr w:type="spellEnd"/>
      <w:r w:rsidR="000533CD" w:rsidRPr="008E5164">
        <w:rPr>
          <w:rFonts w:ascii="Times New Roman" w:hAnsi="Times New Roman" w:cs="Times New Roman"/>
          <w:i/>
          <w:sz w:val="28"/>
          <w:szCs w:val="28"/>
        </w:rPr>
        <w:t xml:space="preserve"> o </w:t>
      </w:r>
      <w:proofErr w:type="spellStart"/>
      <w:r w:rsidR="000533CD" w:rsidRPr="008E5164">
        <w:rPr>
          <w:rFonts w:ascii="Times New Roman" w:hAnsi="Times New Roman" w:cs="Times New Roman"/>
          <w:i/>
          <w:sz w:val="28"/>
          <w:szCs w:val="28"/>
        </w:rPr>
        <w:t>izvršavanju</w:t>
      </w:r>
      <w:proofErr w:type="spellEnd"/>
      <w:r w:rsidR="000533CD" w:rsidRPr="008E5164">
        <w:rPr>
          <w:rFonts w:ascii="Times New Roman" w:hAnsi="Times New Roman" w:cs="Times New Roman"/>
          <w:i/>
          <w:sz w:val="28"/>
          <w:szCs w:val="28"/>
        </w:rPr>
        <w:t xml:space="preserve"> </w:t>
      </w:r>
      <w:proofErr w:type="spellStart"/>
      <w:r w:rsidR="000533CD" w:rsidRPr="008E5164">
        <w:rPr>
          <w:rFonts w:ascii="Times New Roman" w:hAnsi="Times New Roman" w:cs="Times New Roman"/>
          <w:i/>
          <w:sz w:val="28"/>
          <w:szCs w:val="28"/>
        </w:rPr>
        <w:t>kazne</w:t>
      </w:r>
      <w:proofErr w:type="spellEnd"/>
      <w:r w:rsidR="000533CD" w:rsidRPr="008E5164">
        <w:rPr>
          <w:rFonts w:ascii="Times New Roman" w:hAnsi="Times New Roman" w:cs="Times New Roman"/>
          <w:i/>
          <w:sz w:val="28"/>
          <w:szCs w:val="28"/>
        </w:rPr>
        <w:t xml:space="preserve"> </w:t>
      </w:r>
      <w:proofErr w:type="spellStart"/>
      <w:r w:rsidR="000533CD" w:rsidRPr="008E5164">
        <w:rPr>
          <w:rFonts w:ascii="Times New Roman" w:hAnsi="Times New Roman" w:cs="Times New Roman"/>
          <w:i/>
          <w:sz w:val="28"/>
          <w:szCs w:val="28"/>
        </w:rPr>
        <w:t>zatvora</w:t>
      </w:r>
      <w:proofErr w:type="spellEnd"/>
      <w:r w:rsidR="000533CD" w:rsidRPr="00572778">
        <w:rPr>
          <w:rFonts w:ascii="Times New Roman" w:hAnsi="Times New Roman" w:cs="Times New Roman"/>
          <w:sz w:val="28"/>
          <w:szCs w:val="28"/>
        </w:rPr>
        <w:t>, Ga</w:t>
      </w:r>
      <w:r w:rsidR="00CA3B0D">
        <w:rPr>
          <w:rFonts w:ascii="Times New Roman" w:hAnsi="Times New Roman" w:cs="Times New Roman"/>
          <w:sz w:val="28"/>
          <w:szCs w:val="28"/>
        </w:rPr>
        <w:t>z</w:t>
      </w:r>
      <w:r w:rsidR="000533CD" w:rsidRPr="00572778">
        <w:rPr>
          <w:rFonts w:ascii="Times New Roman" w:hAnsi="Times New Roman" w:cs="Times New Roman"/>
          <w:sz w:val="28"/>
          <w:szCs w:val="28"/>
        </w:rPr>
        <w:t>zette Ufficiali n. 128/1999, 190/2003, 76/2007, 27/2008, 83/2009), recita</w:t>
      </w:r>
      <w:r w:rsidR="008D19E9">
        <w:rPr>
          <w:rFonts w:ascii="Times New Roman" w:hAnsi="Times New Roman" w:cs="Times New Roman"/>
          <w:sz w:val="28"/>
          <w:szCs w:val="28"/>
        </w:rPr>
        <w:t>no</w:t>
      </w:r>
      <w:r w:rsidR="000533CD" w:rsidRPr="00572778">
        <w:rPr>
          <w:rFonts w:ascii="Times New Roman" w:hAnsi="Times New Roman" w:cs="Times New Roman"/>
          <w:sz w:val="28"/>
          <w:szCs w:val="28"/>
        </w:rPr>
        <w:t>:</w:t>
      </w:r>
    </w:p>
    <w:p w:rsidR="007C1D7D" w:rsidRPr="002F7458" w:rsidRDefault="007C1D7D" w:rsidP="002F7458">
      <w:pPr>
        <w:spacing w:line="240" w:lineRule="auto"/>
        <w:ind w:left="851" w:right="849"/>
        <w:jc w:val="center"/>
        <w:rPr>
          <w:rFonts w:ascii="Times New Roman" w:hAnsi="Times New Roman" w:cs="Times New Roman"/>
          <w:b/>
          <w:sz w:val="24"/>
          <w:szCs w:val="28"/>
        </w:rPr>
      </w:pPr>
      <w:r w:rsidRPr="002F7458">
        <w:rPr>
          <w:rFonts w:ascii="Times New Roman" w:hAnsi="Times New Roman" w:cs="Times New Roman"/>
          <w:b/>
          <w:sz w:val="24"/>
          <w:szCs w:val="28"/>
        </w:rPr>
        <w:t>Reclami</w:t>
      </w:r>
    </w:p>
    <w:p w:rsidR="000533CD" w:rsidRPr="002F7458" w:rsidRDefault="000533CD" w:rsidP="002F7458">
      <w:pPr>
        <w:spacing w:line="240" w:lineRule="auto"/>
        <w:ind w:left="851" w:right="849"/>
        <w:jc w:val="center"/>
        <w:rPr>
          <w:rFonts w:ascii="Times New Roman" w:hAnsi="Times New Roman" w:cs="Times New Roman"/>
          <w:b/>
          <w:sz w:val="24"/>
          <w:szCs w:val="28"/>
        </w:rPr>
      </w:pPr>
      <w:r w:rsidRPr="002F7458">
        <w:rPr>
          <w:rFonts w:ascii="Times New Roman" w:hAnsi="Times New Roman" w:cs="Times New Roman"/>
          <w:b/>
          <w:sz w:val="24"/>
          <w:szCs w:val="28"/>
        </w:rPr>
        <w:t>Sezione 15</w:t>
      </w:r>
    </w:p>
    <w:p w:rsidR="000533CD" w:rsidRPr="002F7458" w:rsidRDefault="000533CD" w:rsidP="002F7458">
      <w:pPr>
        <w:spacing w:line="240" w:lineRule="auto"/>
        <w:ind w:left="851" w:right="849"/>
        <w:rPr>
          <w:rFonts w:ascii="Times New Roman" w:hAnsi="Times New Roman" w:cs="Times New Roman"/>
          <w:sz w:val="24"/>
          <w:szCs w:val="28"/>
        </w:rPr>
      </w:pPr>
      <w:r w:rsidRPr="002F7458">
        <w:rPr>
          <w:rFonts w:ascii="Times New Roman" w:hAnsi="Times New Roman" w:cs="Times New Roman"/>
          <w:sz w:val="24"/>
          <w:szCs w:val="28"/>
        </w:rPr>
        <w:t>“(1)</w:t>
      </w:r>
      <w:r w:rsidR="00BC364A" w:rsidRPr="002F7458">
        <w:rPr>
          <w:rFonts w:ascii="Times New Roman" w:hAnsi="Times New Roman" w:cs="Times New Roman"/>
          <w:sz w:val="24"/>
          <w:szCs w:val="28"/>
        </w:rPr>
        <w:t xml:space="preserve"> </w:t>
      </w:r>
      <w:r w:rsidRPr="002F7458">
        <w:rPr>
          <w:rFonts w:ascii="Times New Roman" w:hAnsi="Times New Roman" w:cs="Times New Roman"/>
          <w:sz w:val="24"/>
          <w:szCs w:val="28"/>
        </w:rPr>
        <w:t xml:space="preserve">Ogni detenuto </w:t>
      </w:r>
      <w:r w:rsidR="008D19E9" w:rsidRPr="002F7458">
        <w:rPr>
          <w:rFonts w:ascii="Times New Roman" w:hAnsi="Times New Roman" w:cs="Times New Roman"/>
          <w:sz w:val="24"/>
          <w:szCs w:val="28"/>
        </w:rPr>
        <w:t>ha</w:t>
      </w:r>
      <w:r w:rsidRPr="002F7458">
        <w:rPr>
          <w:rFonts w:ascii="Times New Roman" w:hAnsi="Times New Roman" w:cs="Times New Roman"/>
          <w:sz w:val="24"/>
          <w:szCs w:val="28"/>
        </w:rPr>
        <w:t xml:space="preserve"> il diritto di fare reclamo avverso un atto o una decisione di un funzionario penitenziario.</w:t>
      </w:r>
    </w:p>
    <w:p w:rsidR="000533CD" w:rsidRPr="002F7458" w:rsidRDefault="000533CD" w:rsidP="002F7458">
      <w:pPr>
        <w:spacing w:line="240" w:lineRule="auto"/>
        <w:ind w:left="851" w:right="849"/>
        <w:jc w:val="both"/>
        <w:rPr>
          <w:rFonts w:ascii="Times New Roman" w:hAnsi="Times New Roman" w:cs="Times New Roman"/>
          <w:sz w:val="24"/>
          <w:szCs w:val="28"/>
        </w:rPr>
      </w:pPr>
      <w:r w:rsidRPr="002F7458">
        <w:rPr>
          <w:rFonts w:ascii="Times New Roman" w:hAnsi="Times New Roman" w:cs="Times New Roman"/>
          <w:sz w:val="24"/>
          <w:szCs w:val="28"/>
        </w:rPr>
        <w:t>(2) I reclami devono essere presentati verbalmente o per iscritto al direttore del carcere, o al capo dell’Amministrazione penitenziaria [del Ministero della Giustizia].</w:t>
      </w:r>
      <w:r w:rsidR="000C00B6" w:rsidRPr="002F7458">
        <w:rPr>
          <w:rFonts w:ascii="Times New Roman" w:hAnsi="Times New Roman" w:cs="Times New Roman"/>
          <w:sz w:val="24"/>
          <w:szCs w:val="28"/>
        </w:rPr>
        <w:t xml:space="preserve"> I reclami scritti indirizzati al capo dell’Amministrazione penitenziaria</w:t>
      </w:r>
      <w:r w:rsidR="002034E4" w:rsidRPr="002F7458">
        <w:rPr>
          <w:rFonts w:ascii="Times New Roman" w:hAnsi="Times New Roman" w:cs="Times New Roman"/>
          <w:sz w:val="24"/>
          <w:szCs w:val="28"/>
        </w:rPr>
        <w:t xml:space="preserve"> [ del Ministero della Giustizia devono essere presentati in una busta, che le autorità penitenziarie non possono aprire….</w:t>
      </w:r>
    </w:p>
    <w:p w:rsidR="002034E4" w:rsidRPr="002F7458" w:rsidRDefault="002034E4" w:rsidP="00094990">
      <w:pPr>
        <w:spacing w:after="0" w:line="240" w:lineRule="auto"/>
        <w:ind w:left="851" w:right="849"/>
        <w:jc w:val="both"/>
        <w:rPr>
          <w:rFonts w:ascii="Times New Roman" w:hAnsi="Times New Roman" w:cs="Times New Roman"/>
          <w:sz w:val="24"/>
          <w:szCs w:val="28"/>
        </w:rPr>
      </w:pPr>
      <w:r w:rsidRPr="002F7458">
        <w:rPr>
          <w:rFonts w:ascii="Times New Roman" w:hAnsi="Times New Roman" w:cs="Times New Roman"/>
          <w:sz w:val="24"/>
          <w:szCs w:val="28"/>
        </w:rPr>
        <w:t xml:space="preserve">(5) Se un detenuto presenta un reclamo al giudice </w:t>
      </w:r>
      <w:r w:rsidR="005E5B66" w:rsidRPr="002F7458">
        <w:rPr>
          <w:rFonts w:ascii="Times New Roman" w:hAnsi="Times New Roman" w:cs="Times New Roman"/>
          <w:sz w:val="24"/>
          <w:szCs w:val="28"/>
        </w:rPr>
        <w:t xml:space="preserve">dell’esecuzione </w:t>
      </w:r>
      <w:r w:rsidRPr="002F7458">
        <w:rPr>
          <w:rFonts w:ascii="Times New Roman" w:hAnsi="Times New Roman" w:cs="Times New Roman"/>
          <w:sz w:val="24"/>
          <w:szCs w:val="28"/>
        </w:rPr>
        <w:t>pena</w:t>
      </w:r>
      <w:r w:rsidR="005E5B66" w:rsidRPr="002F7458">
        <w:rPr>
          <w:rFonts w:ascii="Times New Roman" w:hAnsi="Times New Roman" w:cs="Times New Roman"/>
          <w:sz w:val="24"/>
          <w:szCs w:val="28"/>
        </w:rPr>
        <w:t>le</w:t>
      </w:r>
      <w:r w:rsidR="00FE234D" w:rsidRPr="002F7458">
        <w:rPr>
          <w:rFonts w:ascii="Times New Roman" w:hAnsi="Times New Roman" w:cs="Times New Roman"/>
          <w:sz w:val="24"/>
          <w:szCs w:val="28"/>
        </w:rPr>
        <w:t>, sarà considerato</w:t>
      </w:r>
      <w:r w:rsidRPr="002F7458">
        <w:rPr>
          <w:rFonts w:ascii="Times New Roman" w:hAnsi="Times New Roman" w:cs="Times New Roman"/>
          <w:sz w:val="24"/>
          <w:szCs w:val="28"/>
        </w:rPr>
        <w:t xml:space="preserve"> una richiesta di tutela giudiziaria ai sensi della sezione 17 del presente Atto”.</w:t>
      </w:r>
    </w:p>
    <w:p w:rsidR="002034E4" w:rsidRPr="002F7458" w:rsidRDefault="002034E4" w:rsidP="00094990">
      <w:pPr>
        <w:spacing w:after="0" w:line="240" w:lineRule="auto"/>
        <w:ind w:left="851" w:right="851"/>
        <w:rPr>
          <w:rFonts w:ascii="Times New Roman" w:hAnsi="Times New Roman" w:cs="Times New Roman"/>
          <w:sz w:val="24"/>
          <w:szCs w:val="28"/>
        </w:rPr>
      </w:pPr>
    </w:p>
    <w:p w:rsidR="002034E4" w:rsidRPr="002F7458" w:rsidRDefault="002034E4" w:rsidP="002F7458">
      <w:pPr>
        <w:spacing w:line="240" w:lineRule="auto"/>
        <w:ind w:left="851" w:right="849"/>
        <w:rPr>
          <w:rFonts w:ascii="Times New Roman" w:hAnsi="Times New Roman" w:cs="Times New Roman"/>
          <w:b/>
          <w:sz w:val="24"/>
          <w:szCs w:val="28"/>
        </w:rPr>
      </w:pPr>
      <w:r w:rsidRPr="002F7458">
        <w:rPr>
          <w:rFonts w:ascii="Times New Roman" w:hAnsi="Times New Roman" w:cs="Times New Roman"/>
          <w:b/>
          <w:sz w:val="24"/>
          <w:szCs w:val="28"/>
        </w:rPr>
        <w:t xml:space="preserve">Tutela </w:t>
      </w:r>
      <w:r w:rsidR="00FD7D57" w:rsidRPr="002F7458">
        <w:rPr>
          <w:rFonts w:ascii="Times New Roman" w:hAnsi="Times New Roman" w:cs="Times New Roman"/>
          <w:b/>
          <w:sz w:val="24"/>
          <w:szCs w:val="28"/>
        </w:rPr>
        <w:t>giudiziaria contro atti e decisioni dell’amministrazione penitenziaria</w:t>
      </w:r>
    </w:p>
    <w:p w:rsidR="00FD7D57" w:rsidRPr="002F7458" w:rsidRDefault="00FD3CA3" w:rsidP="002F7458">
      <w:pPr>
        <w:spacing w:line="240" w:lineRule="auto"/>
        <w:ind w:left="851" w:right="849"/>
        <w:jc w:val="center"/>
        <w:rPr>
          <w:rFonts w:ascii="Times New Roman" w:hAnsi="Times New Roman" w:cs="Times New Roman"/>
          <w:b/>
          <w:sz w:val="24"/>
          <w:szCs w:val="28"/>
        </w:rPr>
      </w:pPr>
      <w:r w:rsidRPr="002F7458">
        <w:rPr>
          <w:rFonts w:ascii="Times New Roman" w:hAnsi="Times New Roman" w:cs="Times New Roman"/>
          <w:b/>
          <w:sz w:val="24"/>
          <w:szCs w:val="28"/>
        </w:rPr>
        <w:t>Sezione 17</w:t>
      </w:r>
    </w:p>
    <w:p w:rsidR="00FD3CA3" w:rsidRPr="002F7458" w:rsidRDefault="006C0A0B" w:rsidP="002F7458">
      <w:pPr>
        <w:spacing w:line="240" w:lineRule="auto"/>
        <w:ind w:left="851" w:right="849"/>
        <w:jc w:val="both"/>
        <w:rPr>
          <w:rFonts w:ascii="Times New Roman" w:hAnsi="Times New Roman" w:cs="Times New Roman"/>
          <w:sz w:val="24"/>
          <w:szCs w:val="28"/>
        </w:rPr>
      </w:pPr>
      <w:r w:rsidRPr="002F7458">
        <w:rPr>
          <w:rFonts w:ascii="Times New Roman" w:hAnsi="Times New Roman" w:cs="Times New Roman"/>
          <w:sz w:val="24"/>
          <w:szCs w:val="28"/>
        </w:rPr>
        <w:t>“ (1) Ogni detenuto può presentare una richiesta di tutela giudiziaria contro atti o decisioni che illegittimamente gli negano, o lo limitano in qual</w:t>
      </w:r>
      <w:r w:rsidR="00E1565A" w:rsidRPr="002F7458">
        <w:rPr>
          <w:rFonts w:ascii="Times New Roman" w:hAnsi="Times New Roman" w:cs="Times New Roman"/>
          <w:sz w:val="24"/>
          <w:szCs w:val="28"/>
        </w:rPr>
        <w:t>siasi diritto garantito dal presente Atto.</w:t>
      </w:r>
    </w:p>
    <w:p w:rsidR="00E1565A" w:rsidRPr="002F7458" w:rsidRDefault="00E1565A" w:rsidP="002F7458">
      <w:pPr>
        <w:spacing w:line="240" w:lineRule="auto"/>
        <w:ind w:left="851" w:right="849"/>
        <w:jc w:val="both"/>
        <w:rPr>
          <w:rFonts w:ascii="Times New Roman" w:hAnsi="Times New Roman" w:cs="Times New Roman"/>
          <w:sz w:val="24"/>
          <w:szCs w:val="28"/>
        </w:rPr>
      </w:pPr>
      <w:r w:rsidRPr="002F7458">
        <w:rPr>
          <w:rFonts w:ascii="Times New Roman" w:hAnsi="Times New Roman" w:cs="Times New Roman"/>
          <w:sz w:val="24"/>
          <w:szCs w:val="28"/>
        </w:rPr>
        <w:t xml:space="preserve">(2) Il giudice </w:t>
      </w:r>
      <w:r w:rsidR="005E5B66" w:rsidRPr="002F7458">
        <w:rPr>
          <w:rFonts w:ascii="Times New Roman" w:hAnsi="Times New Roman" w:cs="Times New Roman"/>
          <w:sz w:val="24"/>
          <w:szCs w:val="28"/>
        </w:rPr>
        <w:t>dell</w:t>
      </w:r>
      <w:r w:rsidRPr="002F7458">
        <w:rPr>
          <w:rFonts w:ascii="Times New Roman" w:hAnsi="Times New Roman" w:cs="Times New Roman"/>
          <w:sz w:val="24"/>
          <w:szCs w:val="28"/>
        </w:rPr>
        <w:t>’esecuzione pena</w:t>
      </w:r>
      <w:r w:rsidR="005E5B66" w:rsidRPr="002F7458">
        <w:rPr>
          <w:rFonts w:ascii="Times New Roman" w:hAnsi="Times New Roman" w:cs="Times New Roman"/>
          <w:sz w:val="24"/>
          <w:szCs w:val="28"/>
        </w:rPr>
        <w:t>le</w:t>
      </w:r>
      <w:r w:rsidRPr="002F7458">
        <w:rPr>
          <w:rFonts w:ascii="Times New Roman" w:hAnsi="Times New Roman" w:cs="Times New Roman"/>
          <w:sz w:val="24"/>
          <w:szCs w:val="28"/>
        </w:rPr>
        <w:t xml:space="preserve"> deve rifiutare la richiesta di tutela</w:t>
      </w:r>
      <w:r w:rsidR="00CB080D" w:rsidRPr="002F7458">
        <w:rPr>
          <w:rFonts w:ascii="Times New Roman" w:hAnsi="Times New Roman" w:cs="Times New Roman"/>
          <w:sz w:val="24"/>
          <w:szCs w:val="28"/>
        </w:rPr>
        <w:t xml:space="preserve"> giudiziaria</w:t>
      </w:r>
      <w:r w:rsidR="00BC364A" w:rsidRPr="002F7458">
        <w:rPr>
          <w:rFonts w:ascii="Times New Roman" w:hAnsi="Times New Roman" w:cs="Times New Roman"/>
          <w:sz w:val="24"/>
          <w:szCs w:val="28"/>
        </w:rPr>
        <w:t xml:space="preserve"> </w:t>
      </w:r>
      <w:r w:rsidR="00CB080D" w:rsidRPr="002F7458">
        <w:rPr>
          <w:rFonts w:ascii="Times New Roman" w:hAnsi="Times New Roman" w:cs="Times New Roman"/>
          <w:sz w:val="24"/>
          <w:szCs w:val="28"/>
        </w:rPr>
        <w:t xml:space="preserve">se ritiene che sia infondata. Se la richiesta è fondata, il giudice </w:t>
      </w:r>
      <w:r w:rsidR="005E5B66" w:rsidRPr="002F7458">
        <w:rPr>
          <w:rFonts w:ascii="Times New Roman" w:hAnsi="Times New Roman" w:cs="Times New Roman"/>
          <w:sz w:val="24"/>
          <w:szCs w:val="28"/>
        </w:rPr>
        <w:t>del</w:t>
      </w:r>
      <w:r w:rsidR="00CB080D" w:rsidRPr="002F7458">
        <w:rPr>
          <w:rFonts w:ascii="Times New Roman" w:hAnsi="Times New Roman" w:cs="Times New Roman"/>
          <w:sz w:val="24"/>
          <w:szCs w:val="28"/>
        </w:rPr>
        <w:t xml:space="preserve">l’esecuzione </w:t>
      </w:r>
      <w:r w:rsidR="005E5B66" w:rsidRPr="002F7458">
        <w:rPr>
          <w:rFonts w:ascii="Times New Roman" w:hAnsi="Times New Roman" w:cs="Times New Roman"/>
          <w:sz w:val="24"/>
          <w:szCs w:val="28"/>
        </w:rPr>
        <w:t>penale</w:t>
      </w:r>
      <w:r w:rsidR="005C40C3" w:rsidRPr="002F7458">
        <w:rPr>
          <w:rFonts w:ascii="Times New Roman" w:hAnsi="Times New Roman" w:cs="Times New Roman"/>
          <w:sz w:val="24"/>
          <w:szCs w:val="28"/>
        </w:rPr>
        <w:t xml:space="preserve"> </w:t>
      </w:r>
      <w:r w:rsidR="009530F7" w:rsidRPr="002F7458">
        <w:rPr>
          <w:rFonts w:ascii="Times New Roman" w:hAnsi="Times New Roman" w:cs="Times New Roman"/>
          <w:sz w:val="24"/>
          <w:szCs w:val="28"/>
        </w:rPr>
        <w:t xml:space="preserve">deve </w:t>
      </w:r>
      <w:r w:rsidR="005C40C3" w:rsidRPr="002F7458">
        <w:rPr>
          <w:rFonts w:ascii="Times New Roman" w:hAnsi="Times New Roman" w:cs="Times New Roman"/>
          <w:sz w:val="24"/>
          <w:szCs w:val="28"/>
        </w:rPr>
        <w:t>disporre che</w:t>
      </w:r>
      <w:r w:rsidR="008379A7" w:rsidRPr="002F7458">
        <w:rPr>
          <w:rFonts w:ascii="Times New Roman" w:hAnsi="Times New Roman" w:cs="Times New Roman"/>
          <w:sz w:val="24"/>
          <w:szCs w:val="28"/>
        </w:rPr>
        <w:t xml:space="preserve"> sia posto rimedio al</w:t>
      </w:r>
      <w:r w:rsidR="005C40C3" w:rsidRPr="002F7458">
        <w:rPr>
          <w:rFonts w:ascii="Times New Roman" w:hAnsi="Times New Roman" w:cs="Times New Roman"/>
          <w:sz w:val="24"/>
          <w:szCs w:val="28"/>
        </w:rPr>
        <w:t>le privazioni o limitazioni illegittime dei diritti</w:t>
      </w:r>
      <w:r w:rsidR="008379A7" w:rsidRPr="002F7458">
        <w:rPr>
          <w:rFonts w:ascii="Times New Roman" w:hAnsi="Times New Roman" w:cs="Times New Roman"/>
          <w:sz w:val="24"/>
          <w:szCs w:val="28"/>
        </w:rPr>
        <w:t>.</w:t>
      </w:r>
      <w:r w:rsidR="00BC364A" w:rsidRPr="002F7458">
        <w:rPr>
          <w:rFonts w:ascii="Times New Roman" w:hAnsi="Times New Roman" w:cs="Times New Roman"/>
          <w:sz w:val="24"/>
          <w:szCs w:val="28"/>
        </w:rPr>
        <w:t xml:space="preserve"> </w:t>
      </w:r>
      <w:r w:rsidR="000454D1" w:rsidRPr="002F7458">
        <w:rPr>
          <w:rFonts w:ascii="Times New Roman" w:hAnsi="Times New Roman" w:cs="Times New Roman"/>
          <w:sz w:val="24"/>
          <w:szCs w:val="28"/>
        </w:rPr>
        <w:t xml:space="preserve">Se ciò non fosse possibile, il </w:t>
      </w:r>
      <w:r w:rsidR="00C16348" w:rsidRPr="002F7458">
        <w:rPr>
          <w:rFonts w:ascii="Times New Roman" w:hAnsi="Times New Roman" w:cs="Times New Roman"/>
          <w:sz w:val="24"/>
          <w:szCs w:val="28"/>
        </w:rPr>
        <w:t>giudice dell’esecuzione penale deve</w:t>
      </w:r>
      <w:r w:rsidR="000454D1" w:rsidRPr="002F7458">
        <w:rPr>
          <w:rFonts w:ascii="Times New Roman" w:hAnsi="Times New Roman" w:cs="Times New Roman"/>
          <w:sz w:val="24"/>
          <w:szCs w:val="28"/>
        </w:rPr>
        <w:t xml:space="preserve"> </w:t>
      </w:r>
      <w:r w:rsidR="002435CC" w:rsidRPr="002F7458">
        <w:rPr>
          <w:rFonts w:ascii="Times New Roman" w:hAnsi="Times New Roman" w:cs="Times New Roman"/>
          <w:sz w:val="24"/>
          <w:szCs w:val="28"/>
        </w:rPr>
        <w:t>riscontra</w:t>
      </w:r>
      <w:r w:rsidR="00C16348" w:rsidRPr="002F7458">
        <w:rPr>
          <w:rFonts w:ascii="Times New Roman" w:hAnsi="Times New Roman" w:cs="Times New Roman"/>
          <w:sz w:val="24"/>
          <w:szCs w:val="28"/>
        </w:rPr>
        <w:t>re</w:t>
      </w:r>
      <w:r w:rsidR="000454D1" w:rsidRPr="002F7458">
        <w:rPr>
          <w:rFonts w:ascii="Times New Roman" w:hAnsi="Times New Roman" w:cs="Times New Roman"/>
          <w:sz w:val="24"/>
          <w:szCs w:val="28"/>
        </w:rPr>
        <w:t xml:space="preserve"> la violazione e vieta</w:t>
      </w:r>
      <w:r w:rsidR="00C16348" w:rsidRPr="002F7458">
        <w:rPr>
          <w:rFonts w:ascii="Times New Roman" w:hAnsi="Times New Roman" w:cs="Times New Roman"/>
          <w:sz w:val="24"/>
          <w:szCs w:val="28"/>
        </w:rPr>
        <w:t>re</w:t>
      </w:r>
      <w:r w:rsidR="000454D1" w:rsidRPr="002F7458">
        <w:rPr>
          <w:rFonts w:ascii="Times New Roman" w:hAnsi="Times New Roman" w:cs="Times New Roman"/>
          <w:sz w:val="24"/>
          <w:szCs w:val="28"/>
        </w:rPr>
        <w:t xml:space="preserve"> la sua ripetizione.</w:t>
      </w:r>
    </w:p>
    <w:p w:rsidR="002435CC" w:rsidRPr="002F7458" w:rsidRDefault="002435CC" w:rsidP="0024196F">
      <w:pPr>
        <w:spacing w:after="0" w:line="240" w:lineRule="auto"/>
        <w:ind w:left="851" w:right="851"/>
        <w:jc w:val="both"/>
        <w:rPr>
          <w:rFonts w:ascii="Times New Roman" w:hAnsi="Times New Roman" w:cs="Times New Roman"/>
          <w:sz w:val="24"/>
          <w:szCs w:val="28"/>
        </w:rPr>
      </w:pPr>
      <w:r w:rsidRPr="002F7458">
        <w:rPr>
          <w:rFonts w:ascii="Times New Roman" w:hAnsi="Times New Roman" w:cs="Times New Roman"/>
          <w:sz w:val="24"/>
          <w:szCs w:val="28"/>
        </w:rPr>
        <w:t xml:space="preserve">(3) Il detenuto e la struttura penitenziaria possono presentare un ricorso contro la decisione del giudice </w:t>
      </w:r>
      <w:r w:rsidR="00D84119" w:rsidRPr="002F7458">
        <w:rPr>
          <w:rFonts w:ascii="Times New Roman" w:hAnsi="Times New Roman" w:cs="Times New Roman"/>
          <w:sz w:val="24"/>
          <w:szCs w:val="28"/>
        </w:rPr>
        <w:t>dell’esecuzione….”</w:t>
      </w:r>
    </w:p>
    <w:p w:rsidR="00A44E1F" w:rsidRPr="002F7458" w:rsidRDefault="00A44E1F" w:rsidP="0024196F">
      <w:pPr>
        <w:spacing w:after="0" w:line="240" w:lineRule="auto"/>
        <w:ind w:left="851" w:right="851"/>
        <w:rPr>
          <w:rFonts w:ascii="Times New Roman" w:hAnsi="Times New Roman" w:cs="Times New Roman"/>
          <w:sz w:val="24"/>
          <w:szCs w:val="28"/>
        </w:rPr>
      </w:pPr>
    </w:p>
    <w:p w:rsidR="00A44E1F" w:rsidRPr="002F7458" w:rsidRDefault="00D6694C" w:rsidP="002F7458">
      <w:pPr>
        <w:spacing w:line="240" w:lineRule="auto"/>
        <w:ind w:left="851" w:right="849"/>
        <w:jc w:val="center"/>
        <w:rPr>
          <w:rFonts w:ascii="Times New Roman" w:hAnsi="Times New Roman" w:cs="Times New Roman"/>
          <w:b/>
          <w:sz w:val="24"/>
          <w:szCs w:val="28"/>
        </w:rPr>
      </w:pPr>
      <w:r w:rsidRPr="002F7458">
        <w:rPr>
          <w:rFonts w:ascii="Times New Roman" w:hAnsi="Times New Roman" w:cs="Times New Roman"/>
          <w:b/>
          <w:sz w:val="24"/>
          <w:szCs w:val="28"/>
        </w:rPr>
        <w:t xml:space="preserve">Alloggio </w:t>
      </w:r>
      <w:r w:rsidR="00A44E1F" w:rsidRPr="002F7458">
        <w:rPr>
          <w:rFonts w:ascii="Times New Roman" w:hAnsi="Times New Roman" w:cs="Times New Roman"/>
          <w:b/>
          <w:sz w:val="24"/>
          <w:szCs w:val="28"/>
        </w:rPr>
        <w:t>dei detenuti</w:t>
      </w:r>
    </w:p>
    <w:p w:rsidR="00A44E1F" w:rsidRPr="002F7458" w:rsidRDefault="00A44E1F" w:rsidP="0024196F">
      <w:pPr>
        <w:spacing w:after="0" w:line="240" w:lineRule="auto"/>
        <w:ind w:left="851" w:right="851"/>
        <w:jc w:val="center"/>
        <w:rPr>
          <w:rFonts w:ascii="Times New Roman" w:hAnsi="Times New Roman" w:cs="Times New Roman"/>
          <w:b/>
          <w:sz w:val="24"/>
          <w:szCs w:val="28"/>
        </w:rPr>
      </w:pPr>
      <w:r w:rsidRPr="002F7458">
        <w:rPr>
          <w:rFonts w:ascii="Times New Roman" w:hAnsi="Times New Roman" w:cs="Times New Roman"/>
          <w:b/>
          <w:sz w:val="24"/>
          <w:szCs w:val="28"/>
        </w:rPr>
        <w:t>Sezione 74</w:t>
      </w:r>
    </w:p>
    <w:p w:rsidR="00A44E1F" w:rsidRPr="002F7458" w:rsidRDefault="00174E0A" w:rsidP="0024196F">
      <w:pPr>
        <w:spacing w:after="0" w:line="240" w:lineRule="auto"/>
        <w:ind w:left="851" w:right="851"/>
        <w:rPr>
          <w:rFonts w:ascii="Times New Roman" w:hAnsi="Times New Roman" w:cs="Times New Roman"/>
          <w:b/>
          <w:sz w:val="24"/>
          <w:szCs w:val="28"/>
        </w:rPr>
      </w:pPr>
      <w:r w:rsidRPr="002F7458">
        <w:rPr>
          <w:rFonts w:ascii="Times New Roman" w:hAnsi="Times New Roman" w:cs="Times New Roman"/>
          <w:b/>
          <w:sz w:val="24"/>
          <w:szCs w:val="28"/>
        </w:rPr>
        <w:t>“…….</w:t>
      </w:r>
    </w:p>
    <w:p w:rsidR="00A44E1F" w:rsidRPr="002F7458" w:rsidRDefault="00A44E1F" w:rsidP="0024196F">
      <w:pPr>
        <w:spacing w:after="0" w:line="240" w:lineRule="auto"/>
        <w:ind w:left="851" w:right="851"/>
        <w:jc w:val="both"/>
        <w:rPr>
          <w:rFonts w:ascii="Times New Roman" w:hAnsi="Times New Roman" w:cs="Times New Roman"/>
          <w:sz w:val="24"/>
          <w:szCs w:val="28"/>
        </w:rPr>
      </w:pPr>
      <w:r w:rsidRPr="002F7458">
        <w:rPr>
          <w:rFonts w:ascii="Times New Roman" w:hAnsi="Times New Roman" w:cs="Times New Roman"/>
          <w:sz w:val="24"/>
          <w:szCs w:val="28"/>
        </w:rPr>
        <w:t>(3) I locali dove sono</w:t>
      </w:r>
      <w:r w:rsidR="00306A07" w:rsidRPr="002F7458">
        <w:rPr>
          <w:rFonts w:ascii="Times New Roman" w:hAnsi="Times New Roman" w:cs="Times New Roman"/>
          <w:sz w:val="24"/>
          <w:szCs w:val="28"/>
        </w:rPr>
        <w:t xml:space="preserve"> alloggiati</w:t>
      </w:r>
      <w:r w:rsidRPr="002F7458">
        <w:rPr>
          <w:rFonts w:ascii="Times New Roman" w:hAnsi="Times New Roman" w:cs="Times New Roman"/>
          <w:sz w:val="24"/>
          <w:szCs w:val="28"/>
        </w:rPr>
        <w:t xml:space="preserve"> i detenuti devono essere puliti, </w:t>
      </w:r>
      <w:r w:rsidR="006C388F" w:rsidRPr="002F7458">
        <w:rPr>
          <w:rFonts w:ascii="Times New Roman" w:hAnsi="Times New Roman" w:cs="Times New Roman"/>
          <w:sz w:val="24"/>
          <w:szCs w:val="28"/>
        </w:rPr>
        <w:t xml:space="preserve">asciutti e sufficientemente spaziosi. Deve esserci uno spazio minimo di 4 metri quadri e </w:t>
      </w:r>
      <w:r w:rsidR="001F3F28" w:rsidRPr="002F7458">
        <w:rPr>
          <w:rFonts w:ascii="Times New Roman" w:hAnsi="Times New Roman" w:cs="Times New Roman"/>
          <w:sz w:val="24"/>
          <w:szCs w:val="28"/>
        </w:rPr>
        <w:t xml:space="preserve">10 </w:t>
      </w:r>
      <w:r w:rsidR="006C388F" w:rsidRPr="002F7458">
        <w:rPr>
          <w:rFonts w:ascii="Times New Roman" w:hAnsi="Times New Roman" w:cs="Times New Roman"/>
          <w:sz w:val="24"/>
          <w:szCs w:val="28"/>
        </w:rPr>
        <w:t xml:space="preserve">metri cubi per ogni detenuto in ogni </w:t>
      </w:r>
      <w:r w:rsidR="001F3F28" w:rsidRPr="002F7458">
        <w:rPr>
          <w:rFonts w:ascii="Times New Roman" w:hAnsi="Times New Roman" w:cs="Times New Roman"/>
          <w:sz w:val="24"/>
          <w:szCs w:val="28"/>
        </w:rPr>
        <w:t>cella</w:t>
      </w:r>
      <w:r w:rsidR="006C388F" w:rsidRPr="002F7458">
        <w:rPr>
          <w:rFonts w:ascii="Times New Roman" w:hAnsi="Times New Roman" w:cs="Times New Roman"/>
          <w:sz w:val="24"/>
          <w:szCs w:val="28"/>
        </w:rPr>
        <w:t>.</w:t>
      </w:r>
    </w:p>
    <w:p w:rsidR="00D6694C" w:rsidRPr="002F7458" w:rsidRDefault="00D6694C" w:rsidP="0024196F">
      <w:pPr>
        <w:spacing w:after="0" w:line="240" w:lineRule="auto"/>
        <w:ind w:left="851" w:right="851"/>
        <w:rPr>
          <w:rFonts w:ascii="Times New Roman" w:hAnsi="Times New Roman" w:cs="Times New Roman"/>
          <w:sz w:val="24"/>
          <w:szCs w:val="28"/>
        </w:rPr>
      </w:pPr>
    </w:p>
    <w:p w:rsidR="00D6694C" w:rsidRPr="002F7458" w:rsidRDefault="00403799" w:rsidP="0024196F">
      <w:pPr>
        <w:spacing w:after="0" w:line="240" w:lineRule="auto"/>
        <w:ind w:left="851" w:right="851"/>
        <w:jc w:val="center"/>
        <w:rPr>
          <w:rFonts w:ascii="Times New Roman" w:hAnsi="Times New Roman" w:cs="Times New Roman"/>
          <w:b/>
          <w:sz w:val="24"/>
          <w:szCs w:val="28"/>
        </w:rPr>
      </w:pPr>
      <w:r w:rsidRPr="002F7458">
        <w:rPr>
          <w:rFonts w:ascii="Times New Roman" w:hAnsi="Times New Roman" w:cs="Times New Roman"/>
          <w:b/>
          <w:sz w:val="24"/>
          <w:szCs w:val="28"/>
        </w:rPr>
        <w:t>Lavoro</w:t>
      </w:r>
      <w:r w:rsidR="00D6694C" w:rsidRPr="002F7458">
        <w:rPr>
          <w:rFonts w:ascii="Times New Roman" w:hAnsi="Times New Roman" w:cs="Times New Roman"/>
          <w:b/>
          <w:sz w:val="24"/>
          <w:szCs w:val="28"/>
        </w:rPr>
        <w:t xml:space="preserve"> per i detenuti</w:t>
      </w:r>
    </w:p>
    <w:p w:rsidR="00D6694C" w:rsidRDefault="00D6694C" w:rsidP="002F7458">
      <w:pPr>
        <w:spacing w:line="240" w:lineRule="auto"/>
        <w:ind w:left="851" w:right="849"/>
        <w:jc w:val="both"/>
        <w:rPr>
          <w:rFonts w:ascii="Times New Roman" w:hAnsi="Times New Roman" w:cs="Times New Roman"/>
          <w:sz w:val="24"/>
          <w:szCs w:val="28"/>
        </w:rPr>
      </w:pPr>
      <w:r w:rsidRPr="002F7458">
        <w:rPr>
          <w:rFonts w:ascii="Times New Roman" w:hAnsi="Times New Roman" w:cs="Times New Roman"/>
          <w:sz w:val="24"/>
          <w:szCs w:val="28"/>
        </w:rPr>
        <w:t>“(1)</w:t>
      </w:r>
      <w:r w:rsidR="00BC364A" w:rsidRPr="002F7458">
        <w:rPr>
          <w:rFonts w:ascii="Times New Roman" w:hAnsi="Times New Roman" w:cs="Times New Roman"/>
          <w:sz w:val="24"/>
          <w:szCs w:val="28"/>
        </w:rPr>
        <w:t xml:space="preserve"> </w:t>
      </w:r>
      <w:r w:rsidRPr="002F7458">
        <w:rPr>
          <w:rFonts w:ascii="Times New Roman" w:hAnsi="Times New Roman" w:cs="Times New Roman"/>
          <w:sz w:val="24"/>
          <w:szCs w:val="28"/>
        </w:rPr>
        <w:t>Ogni detenuto deve avere il diritto al lavoro, secondo il suo stato di salute, livello di conoscenza ed opportunità disponibili nel carcere di Stato o nel carcere.</w:t>
      </w:r>
    </w:p>
    <w:p w:rsidR="00094990" w:rsidRPr="002F7458" w:rsidRDefault="00094990" w:rsidP="00094990">
      <w:pPr>
        <w:spacing w:after="0" w:line="240" w:lineRule="auto"/>
        <w:ind w:right="851"/>
        <w:jc w:val="both"/>
        <w:rPr>
          <w:rFonts w:ascii="Times New Roman" w:hAnsi="Times New Roman" w:cs="Times New Roman"/>
          <w:sz w:val="24"/>
          <w:szCs w:val="28"/>
        </w:rPr>
      </w:pPr>
    </w:p>
    <w:p w:rsidR="001A6E9F" w:rsidRPr="001A6E9F" w:rsidRDefault="00D6694C" w:rsidP="001A6E9F">
      <w:pPr>
        <w:pStyle w:val="Paragrafoelenco"/>
        <w:numPr>
          <w:ilvl w:val="0"/>
          <w:numId w:val="2"/>
        </w:numPr>
        <w:spacing w:line="240" w:lineRule="auto"/>
        <w:rPr>
          <w:rFonts w:ascii="Times New Roman" w:hAnsi="Times New Roman" w:cs="Times New Roman"/>
          <w:sz w:val="28"/>
          <w:szCs w:val="28"/>
        </w:rPr>
      </w:pPr>
      <w:r w:rsidRPr="00572778">
        <w:rPr>
          <w:rFonts w:ascii="Times New Roman" w:hAnsi="Times New Roman" w:cs="Times New Roman"/>
          <w:sz w:val="28"/>
          <w:szCs w:val="28"/>
        </w:rPr>
        <w:t xml:space="preserve">DOCUMENTAZIONE INTERNAZIONALE </w:t>
      </w:r>
      <w:r w:rsidR="001A6E9F">
        <w:rPr>
          <w:rFonts w:ascii="Times New Roman" w:hAnsi="Times New Roman" w:cs="Times New Roman"/>
          <w:sz w:val="28"/>
          <w:szCs w:val="28"/>
        </w:rPr>
        <w:t>RILEVANTE</w:t>
      </w:r>
    </w:p>
    <w:p w:rsidR="001D064A" w:rsidRDefault="001D064A" w:rsidP="001D064A">
      <w:pPr>
        <w:pStyle w:val="Paragrafoelenco"/>
        <w:tabs>
          <w:tab w:val="left" w:pos="993"/>
        </w:tabs>
        <w:spacing w:line="240" w:lineRule="auto"/>
        <w:ind w:left="426"/>
        <w:jc w:val="both"/>
        <w:rPr>
          <w:rFonts w:ascii="Times New Roman" w:hAnsi="Times New Roman" w:cs="Times New Roman"/>
          <w:sz w:val="28"/>
          <w:szCs w:val="28"/>
        </w:rPr>
      </w:pPr>
    </w:p>
    <w:p w:rsidR="00D6694C" w:rsidRPr="00572778" w:rsidRDefault="00D6694C" w:rsidP="002F7458">
      <w:pPr>
        <w:pStyle w:val="Paragrafoelenco"/>
        <w:numPr>
          <w:ilvl w:val="0"/>
          <w:numId w:val="1"/>
        </w:numPr>
        <w:tabs>
          <w:tab w:val="left" w:pos="993"/>
        </w:tabs>
        <w:spacing w:line="240" w:lineRule="auto"/>
        <w:ind w:left="284" w:firstLine="142"/>
        <w:jc w:val="both"/>
        <w:rPr>
          <w:rFonts w:ascii="Times New Roman" w:hAnsi="Times New Roman" w:cs="Times New Roman"/>
          <w:sz w:val="28"/>
          <w:szCs w:val="28"/>
        </w:rPr>
      </w:pPr>
      <w:r w:rsidRPr="00572778">
        <w:rPr>
          <w:rFonts w:ascii="Times New Roman" w:hAnsi="Times New Roman" w:cs="Times New Roman"/>
          <w:sz w:val="28"/>
          <w:szCs w:val="28"/>
        </w:rPr>
        <w:t>Il Comitato Europeo per la prevenzione della tortura e dei trattamenti</w:t>
      </w:r>
      <w:r w:rsidR="00BC364A">
        <w:rPr>
          <w:rFonts w:ascii="Times New Roman" w:hAnsi="Times New Roman" w:cs="Times New Roman"/>
          <w:sz w:val="28"/>
          <w:szCs w:val="28"/>
        </w:rPr>
        <w:t xml:space="preserve"> </w:t>
      </w:r>
      <w:r w:rsidRPr="00572778">
        <w:rPr>
          <w:rFonts w:ascii="Times New Roman" w:hAnsi="Times New Roman" w:cs="Times New Roman"/>
          <w:sz w:val="28"/>
          <w:szCs w:val="28"/>
        </w:rPr>
        <w:t xml:space="preserve">o pene inumani </w:t>
      </w:r>
      <w:r w:rsidR="008069FB" w:rsidRPr="00572778">
        <w:rPr>
          <w:rFonts w:ascii="Times New Roman" w:hAnsi="Times New Roman" w:cs="Times New Roman"/>
          <w:sz w:val="28"/>
          <w:szCs w:val="28"/>
        </w:rPr>
        <w:t>o degradanti (“il CPT”) ha visitato la Croazia dal 19 al 27 settembre 2012. Nel suo rapporto CPT/</w:t>
      </w:r>
      <w:proofErr w:type="spellStart"/>
      <w:r w:rsidR="008069FB" w:rsidRPr="00572778">
        <w:rPr>
          <w:rFonts w:ascii="Times New Roman" w:hAnsi="Times New Roman" w:cs="Times New Roman"/>
          <w:sz w:val="28"/>
          <w:szCs w:val="28"/>
        </w:rPr>
        <w:t>inf</w:t>
      </w:r>
      <w:proofErr w:type="spellEnd"/>
      <w:r w:rsidR="008069FB" w:rsidRPr="00572778">
        <w:rPr>
          <w:rFonts w:ascii="Times New Roman" w:hAnsi="Times New Roman" w:cs="Times New Roman"/>
          <w:sz w:val="28"/>
          <w:szCs w:val="28"/>
        </w:rPr>
        <w:t xml:space="preserve"> (2014) 9 del 18 marzo 2014, </w:t>
      </w:r>
      <w:r w:rsidR="00940EC3">
        <w:rPr>
          <w:rFonts w:ascii="Times New Roman" w:hAnsi="Times New Roman" w:cs="Times New Roman"/>
          <w:sz w:val="28"/>
          <w:szCs w:val="28"/>
        </w:rPr>
        <w:t xml:space="preserve">il CPT </w:t>
      </w:r>
      <w:r w:rsidR="00D30E3E">
        <w:rPr>
          <w:rFonts w:ascii="Times New Roman" w:hAnsi="Times New Roman" w:cs="Times New Roman"/>
          <w:sz w:val="28"/>
          <w:szCs w:val="28"/>
        </w:rPr>
        <w:t>ha rilevato</w:t>
      </w:r>
      <w:r w:rsidR="008069FB" w:rsidRPr="00572778">
        <w:rPr>
          <w:rFonts w:ascii="Times New Roman" w:hAnsi="Times New Roman" w:cs="Times New Roman"/>
          <w:sz w:val="28"/>
          <w:szCs w:val="28"/>
        </w:rPr>
        <w:t xml:space="preserve"> il problema del sovraffollamento in Croazia. Le relative raccomandazioni a tal riguardo (Appendice I) recitano:</w:t>
      </w:r>
    </w:p>
    <w:p w:rsidR="008069FB" w:rsidRPr="002F7458" w:rsidRDefault="008069FB" w:rsidP="001F6EC4">
      <w:pPr>
        <w:spacing w:line="240" w:lineRule="auto"/>
        <w:ind w:left="851" w:right="849"/>
        <w:rPr>
          <w:rFonts w:ascii="Times New Roman" w:hAnsi="Times New Roman" w:cs="Times New Roman"/>
          <w:b/>
          <w:sz w:val="24"/>
          <w:szCs w:val="28"/>
        </w:rPr>
      </w:pPr>
      <w:r w:rsidRPr="002F7458">
        <w:rPr>
          <w:rFonts w:ascii="Times New Roman" w:hAnsi="Times New Roman" w:cs="Times New Roman"/>
          <w:b/>
          <w:sz w:val="24"/>
          <w:szCs w:val="28"/>
        </w:rPr>
        <w:t>“Condizioni di detenzione della popolazione detenuta generale”</w:t>
      </w:r>
    </w:p>
    <w:p w:rsidR="008069FB" w:rsidRPr="002F7458" w:rsidRDefault="00AD4ED3" w:rsidP="001D064A">
      <w:pPr>
        <w:spacing w:after="0" w:line="240" w:lineRule="auto"/>
        <w:ind w:left="851" w:right="851"/>
        <w:rPr>
          <w:rFonts w:ascii="Times New Roman" w:hAnsi="Times New Roman" w:cs="Times New Roman"/>
          <w:sz w:val="24"/>
          <w:szCs w:val="28"/>
          <w:u w:val="single"/>
        </w:rPr>
      </w:pPr>
      <w:r w:rsidRPr="002F7458">
        <w:rPr>
          <w:rFonts w:ascii="Times New Roman" w:hAnsi="Times New Roman" w:cs="Times New Roman"/>
          <w:sz w:val="24"/>
          <w:szCs w:val="28"/>
          <w:u w:val="single"/>
        </w:rPr>
        <w:t>R</w:t>
      </w:r>
      <w:r w:rsidR="008069FB" w:rsidRPr="002F7458">
        <w:rPr>
          <w:rFonts w:ascii="Times New Roman" w:hAnsi="Times New Roman" w:cs="Times New Roman"/>
          <w:sz w:val="24"/>
          <w:szCs w:val="28"/>
          <w:u w:val="single"/>
        </w:rPr>
        <w:t>accomandazioni</w:t>
      </w:r>
    </w:p>
    <w:p w:rsidR="00AD4ED3" w:rsidRPr="002F7458" w:rsidRDefault="00AD4ED3" w:rsidP="001D064A">
      <w:pPr>
        <w:spacing w:after="0" w:line="240" w:lineRule="auto"/>
        <w:ind w:left="851" w:right="851"/>
        <w:rPr>
          <w:rFonts w:ascii="Times New Roman" w:hAnsi="Times New Roman" w:cs="Times New Roman"/>
          <w:sz w:val="24"/>
          <w:szCs w:val="28"/>
          <w:u w:val="single"/>
        </w:rPr>
      </w:pPr>
    </w:p>
    <w:p w:rsidR="00AD4ED3" w:rsidRPr="002F7458" w:rsidRDefault="00AD4ED3" w:rsidP="001D064A">
      <w:pPr>
        <w:spacing w:after="0" w:line="240" w:lineRule="auto"/>
        <w:ind w:left="851" w:right="851"/>
        <w:rPr>
          <w:rFonts w:ascii="Times New Roman" w:hAnsi="Times New Roman" w:cs="Times New Roman"/>
          <w:sz w:val="24"/>
          <w:szCs w:val="28"/>
        </w:rPr>
      </w:pPr>
      <w:r w:rsidRPr="002F7458">
        <w:rPr>
          <w:rFonts w:ascii="Times New Roman" w:hAnsi="Times New Roman" w:cs="Times New Roman"/>
          <w:sz w:val="24"/>
          <w:szCs w:val="28"/>
        </w:rPr>
        <w:t>…..</w:t>
      </w:r>
    </w:p>
    <w:p w:rsidR="00AD4ED3" w:rsidRPr="002F7458" w:rsidRDefault="00AD4ED3" w:rsidP="001D064A">
      <w:pPr>
        <w:spacing w:after="0" w:line="240" w:lineRule="auto"/>
        <w:ind w:left="851" w:right="851"/>
        <w:rPr>
          <w:rFonts w:ascii="Times New Roman" w:hAnsi="Times New Roman" w:cs="Times New Roman"/>
          <w:sz w:val="24"/>
          <w:szCs w:val="28"/>
        </w:rPr>
      </w:pPr>
    </w:p>
    <w:p w:rsidR="00AD4ED3" w:rsidRPr="002F7458" w:rsidRDefault="0059178D" w:rsidP="001D064A">
      <w:pPr>
        <w:pStyle w:val="Paragrafoelenco"/>
        <w:numPr>
          <w:ilvl w:val="0"/>
          <w:numId w:val="5"/>
        </w:numPr>
        <w:spacing w:after="0" w:line="240" w:lineRule="auto"/>
        <w:ind w:left="851" w:right="851"/>
        <w:contextualSpacing w:val="0"/>
        <w:jc w:val="both"/>
        <w:rPr>
          <w:rFonts w:ascii="Times New Roman" w:hAnsi="Times New Roman" w:cs="Times New Roman"/>
          <w:sz w:val="24"/>
          <w:szCs w:val="28"/>
        </w:rPr>
      </w:pPr>
      <w:r w:rsidRPr="002F7458">
        <w:rPr>
          <w:rFonts w:ascii="Times New Roman" w:hAnsi="Times New Roman" w:cs="Times New Roman"/>
          <w:sz w:val="24"/>
          <w:szCs w:val="28"/>
        </w:rPr>
        <w:t>Che l</w:t>
      </w:r>
      <w:r w:rsidR="00AD4ED3" w:rsidRPr="002F7458">
        <w:rPr>
          <w:rFonts w:ascii="Times New Roman" w:hAnsi="Times New Roman" w:cs="Times New Roman"/>
          <w:sz w:val="24"/>
          <w:szCs w:val="28"/>
        </w:rPr>
        <w:t xml:space="preserve">e autorità croate </w:t>
      </w:r>
      <w:r w:rsidRPr="002F7458">
        <w:rPr>
          <w:rFonts w:ascii="Times New Roman" w:hAnsi="Times New Roman" w:cs="Times New Roman"/>
          <w:sz w:val="24"/>
          <w:szCs w:val="28"/>
        </w:rPr>
        <w:t xml:space="preserve">adottino </w:t>
      </w:r>
      <w:r w:rsidR="002E30B3" w:rsidRPr="002F7458">
        <w:rPr>
          <w:rFonts w:ascii="Times New Roman" w:hAnsi="Times New Roman" w:cs="Times New Roman"/>
          <w:sz w:val="24"/>
          <w:szCs w:val="28"/>
        </w:rPr>
        <w:t>misure per ridurre i livelli di occupazione delle celle in tutti gli istituti penitenziari visitati (ed in altri istituti della Croazia), al fine di prevedere almeno 4 metri quadri di spazio vitale</w:t>
      </w:r>
      <w:r w:rsidR="00E67AEE" w:rsidRPr="002F7458">
        <w:rPr>
          <w:rFonts w:ascii="Times New Roman" w:hAnsi="Times New Roman" w:cs="Times New Roman"/>
          <w:sz w:val="24"/>
          <w:szCs w:val="28"/>
        </w:rPr>
        <w:t xml:space="preserve"> </w:t>
      </w:r>
      <w:r w:rsidR="00395CE6" w:rsidRPr="002F7458">
        <w:rPr>
          <w:rFonts w:ascii="Times New Roman" w:hAnsi="Times New Roman" w:cs="Times New Roman"/>
          <w:sz w:val="24"/>
          <w:szCs w:val="28"/>
        </w:rPr>
        <w:t xml:space="preserve">per detenuto </w:t>
      </w:r>
      <w:r w:rsidR="00E67AEE" w:rsidRPr="002F7458">
        <w:rPr>
          <w:rFonts w:ascii="Times New Roman" w:hAnsi="Times New Roman" w:cs="Times New Roman"/>
          <w:sz w:val="24"/>
          <w:szCs w:val="28"/>
        </w:rPr>
        <w:t>nelle celle multiple; a tale scopo, l’area occupata dai servizi sanitari non dovrebbe essere co</w:t>
      </w:r>
      <w:r w:rsidR="00395CE6" w:rsidRPr="002F7458">
        <w:rPr>
          <w:rFonts w:ascii="Times New Roman" w:hAnsi="Times New Roman" w:cs="Times New Roman"/>
          <w:sz w:val="24"/>
          <w:szCs w:val="28"/>
        </w:rPr>
        <w:t>mputata</w:t>
      </w:r>
      <w:r w:rsidR="00E67AEE" w:rsidRPr="002F7458">
        <w:rPr>
          <w:rFonts w:ascii="Times New Roman" w:hAnsi="Times New Roman" w:cs="Times New Roman"/>
          <w:sz w:val="24"/>
          <w:szCs w:val="28"/>
        </w:rPr>
        <w:t xml:space="preserve"> (paragrafo 36);</w:t>
      </w:r>
    </w:p>
    <w:p w:rsidR="00881152" w:rsidRPr="002F7458" w:rsidRDefault="00881152" w:rsidP="001D064A">
      <w:pPr>
        <w:pStyle w:val="Paragrafoelenco"/>
        <w:spacing w:after="0" w:line="240" w:lineRule="auto"/>
        <w:ind w:left="851" w:right="851"/>
        <w:contextualSpacing w:val="0"/>
        <w:jc w:val="both"/>
        <w:rPr>
          <w:rFonts w:ascii="Times New Roman" w:hAnsi="Times New Roman" w:cs="Times New Roman"/>
          <w:sz w:val="24"/>
          <w:szCs w:val="28"/>
        </w:rPr>
      </w:pPr>
    </w:p>
    <w:p w:rsidR="00395CE6" w:rsidRPr="002F7458" w:rsidRDefault="00891AC9" w:rsidP="001D064A">
      <w:pPr>
        <w:spacing w:after="0" w:line="240" w:lineRule="auto"/>
        <w:ind w:left="851" w:right="851"/>
        <w:jc w:val="both"/>
        <w:rPr>
          <w:rFonts w:ascii="Times New Roman" w:hAnsi="Times New Roman" w:cs="Times New Roman"/>
          <w:sz w:val="24"/>
          <w:szCs w:val="28"/>
        </w:rPr>
      </w:pPr>
      <w:r>
        <w:rPr>
          <w:rFonts w:ascii="Times New Roman" w:hAnsi="Times New Roman" w:cs="Times New Roman"/>
          <w:sz w:val="24"/>
          <w:szCs w:val="28"/>
        </w:rPr>
        <w:t xml:space="preserve">    </w:t>
      </w:r>
      <w:r w:rsidR="00881152" w:rsidRPr="002F7458">
        <w:rPr>
          <w:rFonts w:ascii="Times New Roman" w:hAnsi="Times New Roman" w:cs="Times New Roman"/>
          <w:sz w:val="24"/>
          <w:szCs w:val="28"/>
        </w:rPr>
        <w:t>…..</w:t>
      </w:r>
    </w:p>
    <w:p w:rsidR="00881152" w:rsidRPr="002F7458" w:rsidRDefault="00881152" w:rsidP="001D064A">
      <w:pPr>
        <w:pStyle w:val="Paragrafoelenco"/>
        <w:spacing w:after="0" w:line="240" w:lineRule="auto"/>
        <w:ind w:left="851" w:right="851"/>
        <w:contextualSpacing w:val="0"/>
        <w:jc w:val="both"/>
        <w:rPr>
          <w:rFonts w:ascii="Times New Roman" w:hAnsi="Times New Roman" w:cs="Times New Roman"/>
          <w:sz w:val="24"/>
          <w:szCs w:val="28"/>
        </w:rPr>
      </w:pPr>
    </w:p>
    <w:p w:rsidR="00C26D29" w:rsidRPr="002F7458" w:rsidRDefault="0059178D" w:rsidP="001D064A">
      <w:pPr>
        <w:pStyle w:val="Paragrafoelenco"/>
        <w:numPr>
          <w:ilvl w:val="0"/>
          <w:numId w:val="5"/>
        </w:numPr>
        <w:spacing w:after="0" w:line="240" w:lineRule="auto"/>
        <w:ind w:left="851" w:right="851"/>
        <w:contextualSpacing w:val="0"/>
        <w:jc w:val="both"/>
        <w:rPr>
          <w:rFonts w:ascii="Times New Roman" w:hAnsi="Times New Roman" w:cs="Times New Roman"/>
          <w:sz w:val="24"/>
          <w:szCs w:val="28"/>
        </w:rPr>
      </w:pPr>
      <w:r w:rsidRPr="002F7458">
        <w:rPr>
          <w:rFonts w:ascii="Times New Roman" w:hAnsi="Times New Roman" w:cs="Times New Roman"/>
          <w:sz w:val="24"/>
          <w:szCs w:val="28"/>
        </w:rPr>
        <w:t>Che l</w:t>
      </w:r>
      <w:r w:rsidR="0040739F" w:rsidRPr="002F7458">
        <w:rPr>
          <w:rFonts w:ascii="Times New Roman" w:hAnsi="Times New Roman" w:cs="Times New Roman"/>
          <w:sz w:val="24"/>
          <w:szCs w:val="28"/>
        </w:rPr>
        <w:t>e autorità croate miglior</w:t>
      </w:r>
      <w:r w:rsidRPr="002F7458">
        <w:rPr>
          <w:rFonts w:ascii="Times New Roman" w:hAnsi="Times New Roman" w:cs="Times New Roman"/>
          <w:sz w:val="24"/>
          <w:szCs w:val="28"/>
        </w:rPr>
        <w:t>ino</w:t>
      </w:r>
      <w:r w:rsidR="0040739F" w:rsidRPr="002F7458">
        <w:rPr>
          <w:rFonts w:ascii="Times New Roman" w:hAnsi="Times New Roman" w:cs="Times New Roman"/>
          <w:sz w:val="24"/>
          <w:szCs w:val="28"/>
        </w:rPr>
        <w:t xml:space="preserve"> il programma delle attività, incluse le opportunità di lavoro e </w:t>
      </w:r>
      <w:r w:rsidR="00C26D29" w:rsidRPr="002F7458">
        <w:rPr>
          <w:rFonts w:ascii="Times New Roman" w:hAnsi="Times New Roman" w:cs="Times New Roman"/>
          <w:sz w:val="24"/>
          <w:szCs w:val="28"/>
        </w:rPr>
        <w:t>professiona</w:t>
      </w:r>
      <w:r w:rsidR="00881152" w:rsidRPr="002F7458">
        <w:rPr>
          <w:rFonts w:ascii="Times New Roman" w:hAnsi="Times New Roman" w:cs="Times New Roman"/>
          <w:sz w:val="24"/>
          <w:szCs w:val="28"/>
        </w:rPr>
        <w:t>li, per i detenuti nel carcere d</w:t>
      </w:r>
      <w:r w:rsidR="00C26D29" w:rsidRPr="002F7458">
        <w:rPr>
          <w:rFonts w:ascii="Times New Roman" w:hAnsi="Times New Roman" w:cs="Times New Roman"/>
          <w:sz w:val="24"/>
          <w:szCs w:val="28"/>
        </w:rPr>
        <w:t xml:space="preserve">i Stato di </w:t>
      </w:r>
      <w:proofErr w:type="spellStart"/>
      <w:r w:rsidR="00C26D29" w:rsidRPr="002F7458">
        <w:rPr>
          <w:rFonts w:ascii="Times New Roman" w:hAnsi="Times New Roman" w:cs="Times New Roman"/>
          <w:sz w:val="24"/>
          <w:szCs w:val="28"/>
        </w:rPr>
        <w:t>Glina</w:t>
      </w:r>
      <w:proofErr w:type="spellEnd"/>
      <w:r w:rsidR="00C26D29" w:rsidRPr="002F7458">
        <w:rPr>
          <w:rFonts w:ascii="Times New Roman" w:hAnsi="Times New Roman" w:cs="Times New Roman"/>
          <w:sz w:val="24"/>
          <w:szCs w:val="28"/>
        </w:rPr>
        <w:t xml:space="preserve">, </w:t>
      </w:r>
      <w:proofErr w:type="spellStart"/>
      <w:r w:rsidR="00C26D29" w:rsidRPr="002F7458">
        <w:rPr>
          <w:rFonts w:ascii="Times New Roman" w:hAnsi="Times New Roman" w:cs="Times New Roman"/>
          <w:sz w:val="24"/>
          <w:szCs w:val="28"/>
        </w:rPr>
        <w:t>Zagreb</w:t>
      </w:r>
      <w:proofErr w:type="spellEnd"/>
      <w:r w:rsidR="00C26D29" w:rsidRPr="002F7458">
        <w:rPr>
          <w:rFonts w:ascii="Times New Roman" w:hAnsi="Times New Roman" w:cs="Times New Roman"/>
          <w:sz w:val="24"/>
          <w:szCs w:val="28"/>
        </w:rPr>
        <w:t xml:space="preserve"> e </w:t>
      </w:r>
      <w:r w:rsidR="00881152" w:rsidRPr="002F7458">
        <w:rPr>
          <w:rFonts w:ascii="Times New Roman" w:hAnsi="Times New Roman" w:cs="Times New Roman"/>
          <w:sz w:val="24"/>
          <w:szCs w:val="28"/>
        </w:rPr>
        <w:t>negli istituti penitenziari</w:t>
      </w:r>
      <w:r w:rsidR="00C26D29" w:rsidRPr="002F7458">
        <w:rPr>
          <w:rFonts w:ascii="Times New Roman" w:hAnsi="Times New Roman" w:cs="Times New Roman"/>
          <w:sz w:val="24"/>
          <w:szCs w:val="28"/>
        </w:rPr>
        <w:t xml:space="preserve"> della Contea di Sisa</w:t>
      </w:r>
      <w:r w:rsidR="00B7685C" w:rsidRPr="002F7458">
        <w:rPr>
          <w:rFonts w:ascii="Times New Roman" w:hAnsi="Times New Roman" w:cs="Times New Roman"/>
          <w:sz w:val="24"/>
          <w:szCs w:val="28"/>
        </w:rPr>
        <w:t>k</w:t>
      </w:r>
      <w:r w:rsidR="00C26D29" w:rsidRPr="002F7458">
        <w:rPr>
          <w:rFonts w:ascii="Times New Roman" w:hAnsi="Times New Roman" w:cs="Times New Roman"/>
          <w:sz w:val="24"/>
          <w:szCs w:val="28"/>
        </w:rPr>
        <w:t xml:space="preserve"> e, se opportuno, in altri istituti penitenziari </w:t>
      </w:r>
      <w:r w:rsidR="00B7685C" w:rsidRPr="002F7458">
        <w:rPr>
          <w:rFonts w:ascii="Times New Roman" w:hAnsi="Times New Roman" w:cs="Times New Roman"/>
          <w:sz w:val="24"/>
          <w:szCs w:val="28"/>
        </w:rPr>
        <w:t>della</w:t>
      </w:r>
      <w:r w:rsidR="00C26D29" w:rsidRPr="002F7458">
        <w:rPr>
          <w:rFonts w:ascii="Times New Roman" w:hAnsi="Times New Roman" w:cs="Times New Roman"/>
          <w:sz w:val="24"/>
          <w:szCs w:val="28"/>
        </w:rPr>
        <w:t xml:space="preserve"> Croazia (paragrafo 40);</w:t>
      </w:r>
    </w:p>
    <w:p w:rsidR="00C26D29" w:rsidRPr="002F7458" w:rsidRDefault="00891AC9" w:rsidP="001D064A">
      <w:pPr>
        <w:spacing w:after="0" w:line="240" w:lineRule="auto"/>
        <w:ind w:left="851" w:right="851"/>
        <w:jc w:val="both"/>
        <w:rPr>
          <w:rFonts w:ascii="Times New Roman" w:hAnsi="Times New Roman" w:cs="Times New Roman"/>
          <w:sz w:val="24"/>
          <w:szCs w:val="28"/>
        </w:rPr>
      </w:pPr>
      <w:r>
        <w:rPr>
          <w:rFonts w:ascii="Times New Roman" w:hAnsi="Times New Roman" w:cs="Times New Roman"/>
          <w:sz w:val="24"/>
          <w:szCs w:val="28"/>
        </w:rPr>
        <w:t xml:space="preserve">     </w:t>
      </w:r>
      <w:r w:rsidR="00C26D29" w:rsidRPr="002F7458">
        <w:rPr>
          <w:rFonts w:ascii="Times New Roman" w:hAnsi="Times New Roman" w:cs="Times New Roman"/>
          <w:sz w:val="24"/>
          <w:szCs w:val="28"/>
        </w:rPr>
        <w:t xml:space="preserve"> ….”</w:t>
      </w:r>
    </w:p>
    <w:p w:rsidR="009336EA" w:rsidRPr="00572778" w:rsidRDefault="009336EA" w:rsidP="001D064A">
      <w:pPr>
        <w:spacing w:after="0" w:line="240" w:lineRule="auto"/>
        <w:jc w:val="both"/>
        <w:rPr>
          <w:rFonts w:ascii="Times New Roman" w:hAnsi="Times New Roman" w:cs="Times New Roman"/>
          <w:sz w:val="28"/>
          <w:szCs w:val="28"/>
        </w:rPr>
      </w:pPr>
    </w:p>
    <w:p w:rsidR="009336EA" w:rsidRPr="00572778" w:rsidRDefault="00F23799" w:rsidP="008E51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w:t>
      </w:r>
      <w:r w:rsidR="009336EA" w:rsidRPr="00572778">
        <w:rPr>
          <w:rFonts w:ascii="Times New Roman" w:hAnsi="Times New Roman" w:cs="Times New Roman"/>
          <w:sz w:val="28"/>
          <w:szCs w:val="28"/>
        </w:rPr>
        <w:t xml:space="preserve"> DIRITTO</w:t>
      </w:r>
    </w:p>
    <w:p w:rsidR="009336EA" w:rsidRPr="00572778" w:rsidRDefault="009336EA" w:rsidP="008E5164">
      <w:pPr>
        <w:spacing w:after="0" w:line="240" w:lineRule="auto"/>
        <w:jc w:val="both"/>
        <w:rPr>
          <w:rFonts w:ascii="Times New Roman" w:hAnsi="Times New Roman" w:cs="Times New Roman"/>
          <w:sz w:val="28"/>
          <w:szCs w:val="28"/>
        </w:rPr>
      </w:pPr>
    </w:p>
    <w:p w:rsidR="009336EA" w:rsidRPr="00572778" w:rsidRDefault="00F42B6A" w:rsidP="00A83993">
      <w:pPr>
        <w:pStyle w:val="Paragrafoelenco"/>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SULLA </w:t>
      </w:r>
      <w:r w:rsidR="00DB63C0">
        <w:rPr>
          <w:rFonts w:ascii="Times New Roman" w:hAnsi="Times New Roman" w:cs="Times New Roman"/>
          <w:sz w:val="28"/>
          <w:szCs w:val="28"/>
        </w:rPr>
        <w:t xml:space="preserve">DEDOTTA </w:t>
      </w:r>
      <w:r w:rsidR="009336EA" w:rsidRPr="00572778">
        <w:rPr>
          <w:rFonts w:ascii="Times New Roman" w:hAnsi="Times New Roman" w:cs="Times New Roman"/>
          <w:sz w:val="28"/>
          <w:szCs w:val="28"/>
        </w:rPr>
        <w:t>VIOLAZIONE DELL’ARTICOLO 3 DELLA CONVENZIONE</w:t>
      </w:r>
    </w:p>
    <w:p w:rsidR="009336EA" w:rsidRPr="00572778" w:rsidRDefault="009336EA" w:rsidP="00A83993">
      <w:pPr>
        <w:spacing w:after="0" w:line="240" w:lineRule="auto"/>
        <w:jc w:val="both"/>
        <w:rPr>
          <w:rFonts w:ascii="Times New Roman" w:hAnsi="Times New Roman" w:cs="Times New Roman"/>
          <w:sz w:val="28"/>
          <w:szCs w:val="28"/>
        </w:rPr>
      </w:pPr>
    </w:p>
    <w:p w:rsidR="009336EA" w:rsidRPr="00572778" w:rsidRDefault="009336EA" w:rsidP="001F6EC4">
      <w:pPr>
        <w:pStyle w:val="Paragrafoelenco"/>
        <w:numPr>
          <w:ilvl w:val="0"/>
          <w:numId w:val="1"/>
        </w:numPr>
        <w:tabs>
          <w:tab w:val="left" w:pos="993"/>
        </w:tabs>
        <w:spacing w:line="240" w:lineRule="auto"/>
        <w:ind w:left="284" w:firstLine="142"/>
        <w:jc w:val="both"/>
        <w:rPr>
          <w:rFonts w:ascii="Times New Roman" w:hAnsi="Times New Roman" w:cs="Times New Roman"/>
          <w:sz w:val="28"/>
          <w:szCs w:val="28"/>
        </w:rPr>
      </w:pPr>
      <w:r w:rsidRPr="00572778">
        <w:rPr>
          <w:rFonts w:ascii="Times New Roman" w:hAnsi="Times New Roman" w:cs="Times New Roman"/>
          <w:sz w:val="28"/>
          <w:szCs w:val="28"/>
        </w:rPr>
        <w:t xml:space="preserve">Il ricorrente </w:t>
      </w:r>
      <w:r w:rsidR="00772D68">
        <w:rPr>
          <w:rFonts w:ascii="Times New Roman" w:hAnsi="Times New Roman" w:cs="Times New Roman"/>
          <w:sz w:val="28"/>
          <w:szCs w:val="28"/>
        </w:rPr>
        <w:t xml:space="preserve">denuncia </w:t>
      </w:r>
      <w:r w:rsidRPr="00572778">
        <w:rPr>
          <w:rFonts w:ascii="Times New Roman" w:hAnsi="Times New Roman" w:cs="Times New Roman"/>
          <w:sz w:val="28"/>
          <w:szCs w:val="28"/>
        </w:rPr>
        <w:t xml:space="preserve">le condizioni inadeguate di detenzione nel carcere di </w:t>
      </w:r>
      <w:proofErr w:type="spellStart"/>
      <w:r w:rsidRPr="00572778">
        <w:rPr>
          <w:rFonts w:ascii="Times New Roman" w:hAnsi="Times New Roman" w:cs="Times New Roman"/>
          <w:sz w:val="28"/>
          <w:szCs w:val="28"/>
        </w:rPr>
        <w:t>Bjelovar</w:t>
      </w:r>
      <w:proofErr w:type="spellEnd"/>
      <w:r w:rsidRPr="00572778">
        <w:rPr>
          <w:rFonts w:ascii="Times New Roman" w:hAnsi="Times New Roman" w:cs="Times New Roman"/>
          <w:sz w:val="28"/>
          <w:szCs w:val="28"/>
        </w:rPr>
        <w:t xml:space="preserve">. In particolare, </w:t>
      </w:r>
      <w:r w:rsidR="002526FF">
        <w:rPr>
          <w:rFonts w:ascii="Times New Roman" w:hAnsi="Times New Roman" w:cs="Times New Roman"/>
          <w:sz w:val="28"/>
          <w:szCs w:val="28"/>
        </w:rPr>
        <w:t xml:space="preserve">la </w:t>
      </w:r>
      <w:r w:rsidRPr="00572778">
        <w:rPr>
          <w:rFonts w:ascii="Times New Roman" w:hAnsi="Times New Roman" w:cs="Times New Roman"/>
          <w:sz w:val="28"/>
          <w:szCs w:val="28"/>
        </w:rPr>
        <w:t xml:space="preserve">mancanza di spazio personale, </w:t>
      </w:r>
      <w:r w:rsidR="002526FF">
        <w:rPr>
          <w:rFonts w:ascii="Times New Roman" w:hAnsi="Times New Roman" w:cs="Times New Roman"/>
          <w:sz w:val="28"/>
          <w:szCs w:val="28"/>
        </w:rPr>
        <w:t xml:space="preserve">le </w:t>
      </w:r>
      <w:r w:rsidR="002526FF" w:rsidRPr="00572778">
        <w:rPr>
          <w:rFonts w:ascii="Times New Roman" w:hAnsi="Times New Roman" w:cs="Times New Roman"/>
          <w:sz w:val="28"/>
          <w:szCs w:val="28"/>
        </w:rPr>
        <w:t xml:space="preserve">scarse </w:t>
      </w:r>
      <w:r w:rsidRPr="00572778">
        <w:rPr>
          <w:rFonts w:ascii="Times New Roman" w:hAnsi="Times New Roman" w:cs="Times New Roman"/>
          <w:sz w:val="28"/>
          <w:szCs w:val="28"/>
        </w:rPr>
        <w:t>condizioni sanitarie ed igieniche</w:t>
      </w:r>
      <w:r w:rsidR="00153E4D" w:rsidRPr="00572778">
        <w:rPr>
          <w:rFonts w:ascii="Times New Roman" w:hAnsi="Times New Roman" w:cs="Times New Roman"/>
          <w:sz w:val="28"/>
          <w:szCs w:val="28"/>
        </w:rPr>
        <w:t xml:space="preserve"> e di alimentazione, </w:t>
      </w:r>
      <w:r w:rsidR="002526FF">
        <w:rPr>
          <w:rFonts w:ascii="Times New Roman" w:hAnsi="Times New Roman" w:cs="Times New Roman"/>
          <w:sz w:val="28"/>
          <w:szCs w:val="28"/>
        </w:rPr>
        <w:t>la mancanza d</w:t>
      </w:r>
      <w:r w:rsidR="00153E4D" w:rsidRPr="00572778">
        <w:rPr>
          <w:rFonts w:ascii="Times New Roman" w:hAnsi="Times New Roman" w:cs="Times New Roman"/>
          <w:sz w:val="28"/>
          <w:szCs w:val="28"/>
        </w:rPr>
        <w:t>i</w:t>
      </w:r>
      <w:r w:rsidR="002526FF">
        <w:rPr>
          <w:rFonts w:ascii="Times New Roman" w:hAnsi="Times New Roman" w:cs="Times New Roman"/>
          <w:sz w:val="28"/>
          <w:szCs w:val="28"/>
        </w:rPr>
        <w:t xml:space="preserve"> opportunità lavorative, l’i</w:t>
      </w:r>
      <w:r w:rsidR="00153E4D" w:rsidRPr="00572778">
        <w:rPr>
          <w:rFonts w:ascii="Times New Roman" w:hAnsi="Times New Roman" w:cs="Times New Roman"/>
          <w:sz w:val="28"/>
          <w:szCs w:val="28"/>
        </w:rPr>
        <w:t>nsufficiente accesso alle attività ricreative e</w:t>
      </w:r>
      <w:r w:rsidR="00B742C9" w:rsidRPr="00572778">
        <w:rPr>
          <w:rFonts w:ascii="Times New Roman" w:hAnsi="Times New Roman" w:cs="Times New Roman"/>
          <w:sz w:val="28"/>
          <w:szCs w:val="28"/>
        </w:rPr>
        <w:t>d educative. Egli</w:t>
      </w:r>
      <w:r w:rsidR="00B22095">
        <w:rPr>
          <w:rFonts w:ascii="Times New Roman" w:hAnsi="Times New Roman" w:cs="Times New Roman"/>
          <w:sz w:val="28"/>
          <w:szCs w:val="28"/>
        </w:rPr>
        <w:t xml:space="preserve"> invoca </w:t>
      </w:r>
      <w:r w:rsidR="00B742C9" w:rsidRPr="00572778">
        <w:rPr>
          <w:rFonts w:ascii="Times New Roman" w:hAnsi="Times New Roman" w:cs="Times New Roman"/>
          <w:sz w:val="28"/>
          <w:szCs w:val="28"/>
        </w:rPr>
        <w:t>l</w:t>
      </w:r>
      <w:r w:rsidR="0059178D">
        <w:rPr>
          <w:rFonts w:ascii="Times New Roman" w:hAnsi="Times New Roman" w:cs="Times New Roman"/>
          <w:sz w:val="28"/>
          <w:szCs w:val="28"/>
        </w:rPr>
        <w:t>’articolo 3 della C</w:t>
      </w:r>
      <w:r w:rsidR="00B742C9" w:rsidRPr="00572778">
        <w:rPr>
          <w:rFonts w:ascii="Times New Roman" w:hAnsi="Times New Roman" w:cs="Times New Roman"/>
          <w:sz w:val="28"/>
          <w:szCs w:val="28"/>
        </w:rPr>
        <w:t xml:space="preserve">onvenzione, che </w:t>
      </w:r>
      <w:r w:rsidR="0059178D">
        <w:rPr>
          <w:rFonts w:ascii="Times New Roman" w:hAnsi="Times New Roman" w:cs="Times New Roman"/>
          <w:sz w:val="28"/>
          <w:szCs w:val="28"/>
        </w:rPr>
        <w:t>recita</w:t>
      </w:r>
      <w:r w:rsidR="00B742C9" w:rsidRPr="00572778">
        <w:rPr>
          <w:rFonts w:ascii="Times New Roman" w:hAnsi="Times New Roman" w:cs="Times New Roman"/>
          <w:sz w:val="28"/>
          <w:szCs w:val="28"/>
        </w:rPr>
        <w:t>:</w:t>
      </w:r>
    </w:p>
    <w:p w:rsidR="00B742C9" w:rsidRPr="001F6EC4" w:rsidRDefault="00B742C9" w:rsidP="0024196F">
      <w:pPr>
        <w:spacing w:after="0" w:line="240" w:lineRule="auto"/>
        <w:ind w:left="1211"/>
        <w:jc w:val="both"/>
        <w:rPr>
          <w:rFonts w:ascii="Times New Roman" w:hAnsi="Times New Roman" w:cs="Times New Roman"/>
          <w:sz w:val="24"/>
          <w:szCs w:val="28"/>
        </w:rPr>
      </w:pPr>
      <w:r w:rsidRPr="001F6EC4">
        <w:rPr>
          <w:rFonts w:ascii="Times New Roman" w:hAnsi="Times New Roman" w:cs="Times New Roman"/>
          <w:sz w:val="24"/>
          <w:szCs w:val="28"/>
        </w:rPr>
        <w:t xml:space="preserve">“Nessuno </w:t>
      </w:r>
      <w:r w:rsidR="00B22095" w:rsidRPr="001F6EC4">
        <w:rPr>
          <w:rFonts w:ascii="Times New Roman" w:hAnsi="Times New Roman" w:cs="Times New Roman"/>
          <w:sz w:val="24"/>
          <w:szCs w:val="28"/>
        </w:rPr>
        <w:t>può</w:t>
      </w:r>
      <w:r w:rsidRPr="001F6EC4">
        <w:rPr>
          <w:rFonts w:ascii="Times New Roman" w:hAnsi="Times New Roman" w:cs="Times New Roman"/>
          <w:sz w:val="24"/>
          <w:szCs w:val="28"/>
        </w:rPr>
        <w:t xml:space="preserve"> essere sottoposto a tortura </w:t>
      </w:r>
      <w:r w:rsidR="00B22095" w:rsidRPr="001F6EC4">
        <w:rPr>
          <w:rFonts w:ascii="Times New Roman" w:hAnsi="Times New Roman" w:cs="Times New Roman"/>
          <w:sz w:val="24"/>
          <w:szCs w:val="28"/>
        </w:rPr>
        <w:t>né a pene o</w:t>
      </w:r>
      <w:r w:rsidRPr="001F6EC4">
        <w:rPr>
          <w:rFonts w:ascii="Times New Roman" w:hAnsi="Times New Roman" w:cs="Times New Roman"/>
          <w:sz w:val="24"/>
          <w:szCs w:val="28"/>
        </w:rPr>
        <w:t xml:space="preserve"> </w:t>
      </w:r>
      <w:r w:rsidR="00B22095" w:rsidRPr="001F6EC4">
        <w:rPr>
          <w:rFonts w:ascii="Times New Roman" w:hAnsi="Times New Roman" w:cs="Times New Roman"/>
          <w:sz w:val="24"/>
          <w:szCs w:val="28"/>
        </w:rPr>
        <w:t>trattamenti</w:t>
      </w:r>
      <w:r w:rsidRPr="001F6EC4">
        <w:rPr>
          <w:rFonts w:ascii="Times New Roman" w:hAnsi="Times New Roman" w:cs="Times New Roman"/>
          <w:sz w:val="24"/>
          <w:szCs w:val="28"/>
        </w:rPr>
        <w:t xml:space="preserve"> </w:t>
      </w:r>
      <w:r w:rsidR="00B22095" w:rsidRPr="001F6EC4">
        <w:rPr>
          <w:rFonts w:ascii="Times New Roman" w:hAnsi="Times New Roman" w:cs="Times New Roman"/>
          <w:sz w:val="24"/>
          <w:szCs w:val="28"/>
        </w:rPr>
        <w:t>inumani o degradanti</w:t>
      </w:r>
      <w:r w:rsidRPr="001F6EC4">
        <w:rPr>
          <w:rFonts w:ascii="Times New Roman" w:hAnsi="Times New Roman" w:cs="Times New Roman"/>
          <w:sz w:val="24"/>
          <w:szCs w:val="28"/>
        </w:rPr>
        <w:t>.”</w:t>
      </w:r>
    </w:p>
    <w:p w:rsidR="00A83993" w:rsidRPr="00572778" w:rsidRDefault="00A83993" w:rsidP="0024196F">
      <w:pPr>
        <w:spacing w:after="0" w:line="240" w:lineRule="auto"/>
        <w:jc w:val="both"/>
        <w:rPr>
          <w:rFonts w:ascii="Times New Roman" w:hAnsi="Times New Roman" w:cs="Times New Roman"/>
          <w:sz w:val="28"/>
          <w:szCs w:val="28"/>
        </w:rPr>
      </w:pPr>
    </w:p>
    <w:p w:rsidR="00B742C9" w:rsidRPr="00572778" w:rsidRDefault="00B742C9" w:rsidP="00B742C9">
      <w:pPr>
        <w:pStyle w:val="Paragrafoelenco"/>
        <w:numPr>
          <w:ilvl w:val="0"/>
          <w:numId w:val="7"/>
        </w:numPr>
        <w:spacing w:line="240" w:lineRule="auto"/>
        <w:jc w:val="both"/>
        <w:rPr>
          <w:rFonts w:ascii="Times New Roman" w:hAnsi="Times New Roman" w:cs="Times New Roman"/>
          <w:b/>
          <w:sz w:val="28"/>
          <w:szCs w:val="28"/>
        </w:rPr>
      </w:pPr>
      <w:r w:rsidRPr="00572778">
        <w:rPr>
          <w:rFonts w:ascii="Times New Roman" w:hAnsi="Times New Roman" w:cs="Times New Roman"/>
          <w:b/>
          <w:sz w:val="28"/>
          <w:szCs w:val="28"/>
        </w:rPr>
        <w:t>Ammissibilità</w:t>
      </w:r>
    </w:p>
    <w:p w:rsidR="008A69F9" w:rsidRPr="00572778" w:rsidRDefault="008A69F9" w:rsidP="008A69F9">
      <w:pPr>
        <w:pStyle w:val="Paragrafoelenco"/>
        <w:spacing w:line="240" w:lineRule="auto"/>
        <w:jc w:val="both"/>
        <w:rPr>
          <w:rFonts w:ascii="Times New Roman" w:hAnsi="Times New Roman" w:cs="Times New Roman"/>
          <w:b/>
          <w:sz w:val="28"/>
          <w:szCs w:val="28"/>
        </w:rPr>
      </w:pPr>
    </w:p>
    <w:p w:rsidR="008A69F9" w:rsidRPr="00572778" w:rsidRDefault="008A69F9" w:rsidP="008A69F9">
      <w:pPr>
        <w:pStyle w:val="Paragrafoelenco"/>
        <w:numPr>
          <w:ilvl w:val="0"/>
          <w:numId w:val="9"/>
        </w:numPr>
        <w:spacing w:line="240" w:lineRule="auto"/>
        <w:rPr>
          <w:rFonts w:ascii="Times New Roman" w:hAnsi="Times New Roman" w:cs="Times New Roman"/>
          <w:i/>
          <w:sz w:val="28"/>
          <w:szCs w:val="28"/>
        </w:rPr>
      </w:pPr>
      <w:r w:rsidRPr="00572778">
        <w:rPr>
          <w:rFonts w:ascii="Times New Roman" w:hAnsi="Times New Roman" w:cs="Times New Roman"/>
          <w:i/>
          <w:sz w:val="28"/>
          <w:szCs w:val="28"/>
        </w:rPr>
        <w:t>Argomentazioni delle parti</w:t>
      </w:r>
    </w:p>
    <w:p w:rsidR="006D3505" w:rsidRPr="00572778" w:rsidRDefault="006D3505" w:rsidP="006D3505">
      <w:pPr>
        <w:pStyle w:val="Paragrafoelenco"/>
        <w:spacing w:line="240" w:lineRule="auto"/>
        <w:rPr>
          <w:rFonts w:ascii="Times New Roman" w:hAnsi="Times New Roman" w:cs="Times New Roman"/>
          <w:i/>
          <w:sz w:val="28"/>
          <w:szCs w:val="28"/>
        </w:rPr>
      </w:pPr>
    </w:p>
    <w:p w:rsidR="008A69F9" w:rsidRPr="00572778" w:rsidRDefault="008A69F9" w:rsidP="0024196F">
      <w:pPr>
        <w:pStyle w:val="Paragrafoelenco"/>
        <w:numPr>
          <w:ilvl w:val="0"/>
          <w:numId w:val="1"/>
        </w:numPr>
        <w:tabs>
          <w:tab w:val="left" w:pos="993"/>
        </w:tabs>
        <w:spacing w:after="120" w:line="240" w:lineRule="auto"/>
        <w:ind w:left="284" w:firstLine="142"/>
        <w:contextualSpacing w:val="0"/>
        <w:jc w:val="both"/>
        <w:rPr>
          <w:rFonts w:ascii="Times New Roman" w:hAnsi="Times New Roman" w:cs="Times New Roman"/>
          <w:sz w:val="28"/>
          <w:szCs w:val="28"/>
        </w:rPr>
      </w:pPr>
      <w:r w:rsidRPr="00572778">
        <w:rPr>
          <w:rFonts w:ascii="Times New Roman" w:hAnsi="Times New Roman" w:cs="Times New Roman"/>
          <w:sz w:val="28"/>
          <w:szCs w:val="28"/>
        </w:rPr>
        <w:t xml:space="preserve">Il Governo ha </w:t>
      </w:r>
      <w:r w:rsidR="006D3505" w:rsidRPr="00572778">
        <w:rPr>
          <w:rFonts w:ascii="Times New Roman" w:hAnsi="Times New Roman" w:cs="Times New Roman"/>
          <w:sz w:val="28"/>
          <w:szCs w:val="28"/>
        </w:rPr>
        <w:t xml:space="preserve">affermato che nel suo reclamo costituzionale davanti alla Corte Costituzionale, che era stato un rimedio interno efficace riguardante le condizioni della sua detenzione, il ricorrente </w:t>
      </w:r>
      <w:r w:rsidR="002E3A04" w:rsidRPr="00572778">
        <w:rPr>
          <w:rFonts w:ascii="Times New Roman" w:hAnsi="Times New Roman" w:cs="Times New Roman"/>
          <w:sz w:val="28"/>
          <w:szCs w:val="28"/>
        </w:rPr>
        <w:t xml:space="preserve">aveva solo </w:t>
      </w:r>
      <w:r w:rsidR="00E1283C">
        <w:rPr>
          <w:rFonts w:ascii="Times New Roman" w:hAnsi="Times New Roman" w:cs="Times New Roman"/>
          <w:sz w:val="28"/>
          <w:szCs w:val="28"/>
        </w:rPr>
        <w:t xml:space="preserve">denunciato </w:t>
      </w:r>
      <w:r w:rsidR="002E3A04" w:rsidRPr="00572778">
        <w:rPr>
          <w:rFonts w:ascii="Times New Roman" w:hAnsi="Times New Roman" w:cs="Times New Roman"/>
          <w:sz w:val="28"/>
          <w:szCs w:val="28"/>
        </w:rPr>
        <w:t>discriminazioni a seguito delle decisioni del</w:t>
      </w:r>
      <w:r w:rsidR="008C17BE">
        <w:rPr>
          <w:rFonts w:ascii="Times New Roman" w:hAnsi="Times New Roman" w:cs="Times New Roman"/>
          <w:sz w:val="28"/>
          <w:szCs w:val="28"/>
        </w:rPr>
        <w:t>la Corte</w:t>
      </w:r>
      <w:r w:rsidR="002E3A04" w:rsidRPr="00572778">
        <w:rPr>
          <w:rFonts w:ascii="Times New Roman" w:hAnsi="Times New Roman" w:cs="Times New Roman"/>
          <w:sz w:val="28"/>
          <w:szCs w:val="28"/>
        </w:rPr>
        <w:t xml:space="preserve"> della Contea di </w:t>
      </w:r>
      <w:proofErr w:type="spellStart"/>
      <w:r w:rsidR="002E3A04" w:rsidRPr="00572778">
        <w:rPr>
          <w:rFonts w:ascii="Times New Roman" w:hAnsi="Times New Roman" w:cs="Times New Roman"/>
          <w:sz w:val="28"/>
          <w:szCs w:val="28"/>
        </w:rPr>
        <w:t>Bjelovar</w:t>
      </w:r>
      <w:proofErr w:type="spellEnd"/>
      <w:r w:rsidR="002E3A04" w:rsidRPr="00572778">
        <w:rPr>
          <w:rFonts w:ascii="Times New Roman" w:hAnsi="Times New Roman" w:cs="Times New Roman"/>
          <w:sz w:val="28"/>
          <w:szCs w:val="28"/>
        </w:rPr>
        <w:t xml:space="preserve"> relative al fatto che egli non era stato imp</w:t>
      </w:r>
      <w:r w:rsidR="004D1ABE">
        <w:rPr>
          <w:rFonts w:ascii="Times New Roman" w:hAnsi="Times New Roman" w:cs="Times New Roman"/>
          <w:sz w:val="28"/>
          <w:szCs w:val="28"/>
        </w:rPr>
        <w:t>i</w:t>
      </w:r>
      <w:r w:rsidR="002E3A04" w:rsidRPr="00572778">
        <w:rPr>
          <w:rFonts w:ascii="Times New Roman" w:hAnsi="Times New Roman" w:cs="Times New Roman"/>
          <w:sz w:val="28"/>
          <w:szCs w:val="28"/>
        </w:rPr>
        <w:t>eg</w:t>
      </w:r>
      <w:r w:rsidR="004D1ABE">
        <w:rPr>
          <w:rFonts w:ascii="Times New Roman" w:hAnsi="Times New Roman" w:cs="Times New Roman"/>
          <w:sz w:val="28"/>
          <w:szCs w:val="28"/>
        </w:rPr>
        <w:t>ato</w:t>
      </w:r>
      <w:r w:rsidR="00542342">
        <w:rPr>
          <w:rFonts w:ascii="Times New Roman" w:hAnsi="Times New Roman" w:cs="Times New Roman"/>
          <w:sz w:val="28"/>
          <w:szCs w:val="28"/>
        </w:rPr>
        <w:t xml:space="preserve"> nell’attività </w:t>
      </w:r>
      <w:r w:rsidR="002E3A04" w:rsidRPr="00572778">
        <w:rPr>
          <w:rFonts w:ascii="Times New Roman" w:hAnsi="Times New Roman" w:cs="Times New Roman"/>
          <w:sz w:val="28"/>
          <w:szCs w:val="28"/>
        </w:rPr>
        <w:t>lavo</w:t>
      </w:r>
      <w:r w:rsidR="00542342">
        <w:rPr>
          <w:rFonts w:ascii="Times New Roman" w:hAnsi="Times New Roman" w:cs="Times New Roman"/>
          <w:sz w:val="28"/>
          <w:szCs w:val="28"/>
        </w:rPr>
        <w:t>rativa in carcere</w:t>
      </w:r>
      <w:r w:rsidR="002E3A04" w:rsidRPr="00572778">
        <w:rPr>
          <w:rFonts w:ascii="Times New Roman" w:hAnsi="Times New Roman" w:cs="Times New Roman"/>
          <w:sz w:val="28"/>
          <w:szCs w:val="28"/>
        </w:rPr>
        <w:t>. Tuttavia, egli non era r</w:t>
      </w:r>
      <w:r w:rsidR="002E6D73">
        <w:rPr>
          <w:rFonts w:ascii="Times New Roman" w:hAnsi="Times New Roman" w:cs="Times New Roman"/>
          <w:sz w:val="28"/>
          <w:szCs w:val="28"/>
        </w:rPr>
        <w:t>iuscito a sollevare nessun altra</w:t>
      </w:r>
      <w:r w:rsidR="002E3A04" w:rsidRPr="00572778">
        <w:rPr>
          <w:rFonts w:ascii="Times New Roman" w:hAnsi="Times New Roman" w:cs="Times New Roman"/>
          <w:sz w:val="28"/>
          <w:szCs w:val="28"/>
        </w:rPr>
        <w:t xml:space="preserve"> argoment</w:t>
      </w:r>
      <w:r w:rsidR="002E6D73">
        <w:rPr>
          <w:rFonts w:ascii="Times New Roman" w:hAnsi="Times New Roman" w:cs="Times New Roman"/>
          <w:sz w:val="28"/>
          <w:szCs w:val="28"/>
        </w:rPr>
        <w:t>azione</w:t>
      </w:r>
      <w:r w:rsidR="002E3A04" w:rsidRPr="00572778">
        <w:rPr>
          <w:rFonts w:ascii="Times New Roman" w:hAnsi="Times New Roman" w:cs="Times New Roman"/>
          <w:sz w:val="28"/>
          <w:szCs w:val="28"/>
        </w:rPr>
        <w:t xml:space="preserve"> o a </w:t>
      </w:r>
      <w:r w:rsidR="005554A1" w:rsidRPr="00572778">
        <w:rPr>
          <w:rFonts w:ascii="Times New Roman" w:hAnsi="Times New Roman" w:cs="Times New Roman"/>
          <w:sz w:val="28"/>
          <w:szCs w:val="28"/>
        </w:rPr>
        <w:t xml:space="preserve">dimostrare </w:t>
      </w:r>
      <w:r w:rsidR="00D71184">
        <w:rPr>
          <w:rFonts w:ascii="Times New Roman" w:hAnsi="Times New Roman" w:cs="Times New Roman"/>
          <w:sz w:val="28"/>
          <w:szCs w:val="28"/>
        </w:rPr>
        <w:t>le sue lamentele sul</w:t>
      </w:r>
      <w:r w:rsidR="005554A1" w:rsidRPr="00572778">
        <w:rPr>
          <w:rFonts w:ascii="Times New Roman" w:hAnsi="Times New Roman" w:cs="Times New Roman"/>
          <w:sz w:val="28"/>
          <w:szCs w:val="28"/>
        </w:rPr>
        <w:t xml:space="preserve"> sovraffollamento. Inoltre, egli non aveva </w:t>
      </w:r>
      <w:r w:rsidR="0024777F">
        <w:rPr>
          <w:rFonts w:ascii="Times New Roman" w:hAnsi="Times New Roman" w:cs="Times New Roman"/>
          <w:sz w:val="28"/>
          <w:szCs w:val="28"/>
        </w:rPr>
        <w:t>invocato</w:t>
      </w:r>
      <w:r w:rsidR="005554A1" w:rsidRPr="00572778">
        <w:rPr>
          <w:rFonts w:ascii="Times New Roman" w:hAnsi="Times New Roman" w:cs="Times New Roman"/>
          <w:sz w:val="28"/>
          <w:szCs w:val="28"/>
        </w:rPr>
        <w:t xml:space="preserve"> alcuna delle disposizioni della Costituzione che garantivano la tutela dal maltrattamento </w:t>
      </w:r>
      <w:r w:rsidR="004676CD" w:rsidRPr="00572778">
        <w:rPr>
          <w:rFonts w:ascii="Times New Roman" w:hAnsi="Times New Roman" w:cs="Times New Roman"/>
          <w:sz w:val="28"/>
          <w:szCs w:val="28"/>
        </w:rPr>
        <w:t xml:space="preserve">ed il rispetto per la dignità umana, in particolare gli artt. 23 e 25 (vedi precedente paragrafo 32), né, per quella questione, l’Articolo 3 della Convenzione. Il Governo ha anche sottolineato che il ricorrente era stato legalmente rappresentato, e che </w:t>
      </w:r>
      <w:r w:rsidR="00171FBD">
        <w:rPr>
          <w:rFonts w:ascii="Times New Roman" w:hAnsi="Times New Roman" w:cs="Times New Roman"/>
          <w:sz w:val="28"/>
          <w:szCs w:val="28"/>
        </w:rPr>
        <w:t>era obbligatorio che il</w:t>
      </w:r>
      <w:r w:rsidR="00606DE3" w:rsidRPr="00572778">
        <w:rPr>
          <w:rFonts w:ascii="Times New Roman" w:hAnsi="Times New Roman" w:cs="Times New Roman"/>
          <w:sz w:val="28"/>
          <w:szCs w:val="28"/>
        </w:rPr>
        <w:t xml:space="preserve"> suo avvocato </w:t>
      </w:r>
      <w:r w:rsidR="00171FBD">
        <w:rPr>
          <w:rFonts w:ascii="Times New Roman" w:hAnsi="Times New Roman" w:cs="Times New Roman"/>
          <w:sz w:val="28"/>
          <w:szCs w:val="28"/>
        </w:rPr>
        <w:t>opportunamente ricorresse</w:t>
      </w:r>
      <w:r w:rsidR="00BC364A">
        <w:rPr>
          <w:rFonts w:ascii="Times New Roman" w:hAnsi="Times New Roman" w:cs="Times New Roman"/>
          <w:sz w:val="28"/>
          <w:szCs w:val="28"/>
        </w:rPr>
        <w:t xml:space="preserve"> </w:t>
      </w:r>
      <w:r w:rsidR="00171FBD">
        <w:rPr>
          <w:rFonts w:ascii="Times New Roman" w:hAnsi="Times New Roman" w:cs="Times New Roman"/>
          <w:sz w:val="28"/>
          <w:szCs w:val="28"/>
        </w:rPr>
        <w:t xml:space="preserve">al </w:t>
      </w:r>
      <w:r w:rsidR="00606DE3" w:rsidRPr="00572778">
        <w:rPr>
          <w:rFonts w:ascii="Times New Roman" w:hAnsi="Times New Roman" w:cs="Times New Roman"/>
          <w:sz w:val="28"/>
          <w:szCs w:val="28"/>
        </w:rPr>
        <w:t xml:space="preserve">reclamo costituzionale davanti alla Corte Costituzionale. Se egli avesse fatto ciò adeguatamente, sarebbe stato anche possibile per il ricorrente intraprendere un’azione civile per i danni, nel caso in cui la Corte Costituzionale </w:t>
      </w:r>
      <w:r w:rsidR="00F86381">
        <w:rPr>
          <w:rFonts w:ascii="Times New Roman" w:hAnsi="Times New Roman" w:cs="Times New Roman"/>
          <w:sz w:val="28"/>
          <w:szCs w:val="28"/>
        </w:rPr>
        <w:t xml:space="preserve">avesse </w:t>
      </w:r>
      <w:r w:rsidR="00606DE3" w:rsidRPr="00572778">
        <w:rPr>
          <w:rFonts w:ascii="Times New Roman" w:hAnsi="Times New Roman" w:cs="Times New Roman"/>
          <w:sz w:val="28"/>
          <w:szCs w:val="28"/>
        </w:rPr>
        <w:t>riten</w:t>
      </w:r>
      <w:r w:rsidR="00F86381">
        <w:rPr>
          <w:rFonts w:ascii="Times New Roman" w:hAnsi="Times New Roman" w:cs="Times New Roman"/>
          <w:sz w:val="28"/>
          <w:szCs w:val="28"/>
        </w:rPr>
        <w:t>uto</w:t>
      </w:r>
      <w:r w:rsidR="00606DE3" w:rsidRPr="00572778">
        <w:rPr>
          <w:rFonts w:ascii="Times New Roman" w:hAnsi="Times New Roman" w:cs="Times New Roman"/>
          <w:sz w:val="28"/>
          <w:szCs w:val="28"/>
        </w:rPr>
        <w:t xml:space="preserve"> che i suoi diritti </w:t>
      </w:r>
      <w:r w:rsidR="00F86381">
        <w:rPr>
          <w:rFonts w:ascii="Times New Roman" w:hAnsi="Times New Roman" w:cs="Times New Roman"/>
          <w:sz w:val="28"/>
          <w:szCs w:val="28"/>
        </w:rPr>
        <w:t>fossero</w:t>
      </w:r>
      <w:r w:rsidR="00606DE3" w:rsidRPr="00572778">
        <w:rPr>
          <w:rFonts w:ascii="Times New Roman" w:hAnsi="Times New Roman" w:cs="Times New Roman"/>
          <w:sz w:val="28"/>
          <w:szCs w:val="28"/>
        </w:rPr>
        <w:t xml:space="preserve"> stati violati.</w:t>
      </w:r>
    </w:p>
    <w:p w:rsidR="00606DE3" w:rsidRDefault="00606DE3" w:rsidP="001D064A">
      <w:pPr>
        <w:pStyle w:val="Paragrafoelenco"/>
        <w:numPr>
          <w:ilvl w:val="0"/>
          <w:numId w:val="1"/>
        </w:numPr>
        <w:tabs>
          <w:tab w:val="left" w:pos="993"/>
        </w:tabs>
        <w:spacing w:after="0" w:line="240" w:lineRule="auto"/>
        <w:ind w:left="284" w:firstLine="142"/>
        <w:jc w:val="both"/>
        <w:rPr>
          <w:rFonts w:ascii="Times New Roman" w:hAnsi="Times New Roman" w:cs="Times New Roman"/>
          <w:sz w:val="28"/>
          <w:szCs w:val="28"/>
        </w:rPr>
      </w:pPr>
      <w:r w:rsidRPr="00572778">
        <w:rPr>
          <w:rFonts w:ascii="Times New Roman" w:hAnsi="Times New Roman" w:cs="Times New Roman"/>
          <w:sz w:val="28"/>
          <w:szCs w:val="28"/>
        </w:rPr>
        <w:t xml:space="preserve">Il ricorrente ha </w:t>
      </w:r>
      <w:r w:rsidR="00F45C39" w:rsidRPr="00572778">
        <w:rPr>
          <w:rFonts w:ascii="Times New Roman" w:hAnsi="Times New Roman" w:cs="Times New Roman"/>
          <w:sz w:val="28"/>
          <w:szCs w:val="28"/>
        </w:rPr>
        <w:t xml:space="preserve">affermato che egli aveva </w:t>
      </w:r>
      <w:r w:rsidR="008065DD">
        <w:rPr>
          <w:rFonts w:ascii="Times New Roman" w:hAnsi="Times New Roman" w:cs="Times New Roman"/>
          <w:sz w:val="28"/>
          <w:szCs w:val="28"/>
        </w:rPr>
        <w:t>completamente</w:t>
      </w:r>
      <w:r w:rsidR="00F45C39" w:rsidRPr="00572778">
        <w:rPr>
          <w:rFonts w:ascii="Times New Roman" w:hAnsi="Times New Roman" w:cs="Times New Roman"/>
          <w:sz w:val="28"/>
          <w:szCs w:val="28"/>
        </w:rPr>
        <w:t xml:space="preserve"> esaurito i rimedi interni.</w:t>
      </w:r>
    </w:p>
    <w:p w:rsidR="000D3E08" w:rsidRDefault="000D3E08" w:rsidP="001D064A">
      <w:pPr>
        <w:spacing w:after="0" w:line="240" w:lineRule="auto"/>
        <w:jc w:val="both"/>
        <w:rPr>
          <w:rFonts w:ascii="Times New Roman" w:hAnsi="Times New Roman" w:cs="Times New Roman"/>
          <w:sz w:val="28"/>
          <w:szCs w:val="28"/>
        </w:rPr>
      </w:pPr>
    </w:p>
    <w:p w:rsidR="002A33E4" w:rsidRPr="006C7545" w:rsidRDefault="002A33E4" w:rsidP="002A33E4">
      <w:pPr>
        <w:jc w:val="both"/>
        <w:rPr>
          <w:rFonts w:ascii="Times New Roman" w:hAnsi="Times New Roman" w:cs="Times New Roman"/>
          <w:i/>
          <w:sz w:val="28"/>
          <w:szCs w:val="28"/>
        </w:rPr>
      </w:pPr>
      <w:r w:rsidRPr="006C7545">
        <w:rPr>
          <w:rFonts w:ascii="Times New Roman" w:hAnsi="Times New Roman" w:cs="Times New Roman"/>
          <w:i/>
          <w:sz w:val="28"/>
          <w:szCs w:val="28"/>
        </w:rPr>
        <w:t>2.</w:t>
      </w:r>
      <w:r w:rsidR="00BC364A">
        <w:rPr>
          <w:rFonts w:ascii="Times New Roman" w:hAnsi="Times New Roman" w:cs="Times New Roman"/>
          <w:i/>
          <w:sz w:val="28"/>
          <w:szCs w:val="28"/>
        </w:rPr>
        <w:t xml:space="preserve"> </w:t>
      </w:r>
      <w:r w:rsidRPr="006C7545">
        <w:rPr>
          <w:rFonts w:ascii="Times New Roman" w:hAnsi="Times New Roman" w:cs="Times New Roman"/>
          <w:i/>
          <w:sz w:val="28"/>
          <w:szCs w:val="28"/>
        </w:rPr>
        <w:t>La valutazione della Corte</w:t>
      </w:r>
    </w:p>
    <w:p w:rsidR="002A33E4" w:rsidRPr="0024196F" w:rsidRDefault="002A33E4" w:rsidP="0024196F">
      <w:pPr>
        <w:pStyle w:val="Paragrafoelenco"/>
        <w:numPr>
          <w:ilvl w:val="0"/>
          <w:numId w:val="1"/>
        </w:numPr>
        <w:tabs>
          <w:tab w:val="left" w:pos="1134"/>
        </w:tabs>
        <w:spacing w:after="120" w:line="240" w:lineRule="auto"/>
        <w:ind w:left="284" w:firstLine="283"/>
        <w:contextualSpacing w:val="0"/>
        <w:jc w:val="both"/>
        <w:rPr>
          <w:rFonts w:ascii="Times New Roman" w:hAnsi="Times New Roman" w:cs="Times New Roman"/>
          <w:sz w:val="28"/>
          <w:szCs w:val="28"/>
        </w:rPr>
      </w:pPr>
      <w:r w:rsidRPr="0024196F">
        <w:rPr>
          <w:rFonts w:ascii="Times New Roman" w:hAnsi="Times New Roman" w:cs="Times New Roman"/>
          <w:sz w:val="28"/>
          <w:szCs w:val="28"/>
        </w:rPr>
        <w:t xml:space="preserve">La Corte ribadisce che ai sensi dell’Articolo 35 § 1 della Convenzione, essa può trattare un ricorso solo dopo che tutte le vie di ricorso interne siano esaurite. Lo scopo dell’Articolo 35 è di offrire agli Stati Contraenti l’opportunità di prevenire o di rimediare alle violazioni denunciate contro di essi prima che tali denunce siano presentate alla Corte (vedi per es, </w:t>
      </w:r>
      <w:proofErr w:type="spellStart"/>
      <w:r w:rsidRPr="0024196F">
        <w:rPr>
          <w:rFonts w:ascii="Times New Roman" w:hAnsi="Times New Roman" w:cs="Times New Roman"/>
          <w:i/>
          <w:sz w:val="28"/>
          <w:szCs w:val="28"/>
        </w:rPr>
        <w:t>Mifsud</w:t>
      </w:r>
      <w:proofErr w:type="spellEnd"/>
      <w:r w:rsidRPr="0024196F">
        <w:rPr>
          <w:rFonts w:ascii="Times New Roman" w:hAnsi="Times New Roman" w:cs="Times New Roman"/>
          <w:i/>
          <w:sz w:val="28"/>
          <w:szCs w:val="28"/>
        </w:rPr>
        <w:t xml:space="preserve"> c. Francia</w:t>
      </w:r>
      <w:r w:rsidRPr="0024196F">
        <w:rPr>
          <w:rFonts w:ascii="Times New Roman" w:hAnsi="Times New Roman" w:cs="Times New Roman"/>
          <w:sz w:val="28"/>
          <w:szCs w:val="28"/>
        </w:rPr>
        <w:t xml:space="preserve"> (decisione) [Grande Camera], n. 57220/00,</w:t>
      </w:r>
      <w:r w:rsidR="00BC364A" w:rsidRPr="0024196F">
        <w:rPr>
          <w:rFonts w:ascii="Times New Roman" w:hAnsi="Times New Roman" w:cs="Times New Roman"/>
          <w:sz w:val="28"/>
          <w:szCs w:val="28"/>
        </w:rPr>
        <w:t xml:space="preserve"> </w:t>
      </w:r>
      <w:r w:rsidRPr="0024196F">
        <w:rPr>
          <w:rFonts w:ascii="Times New Roman" w:hAnsi="Times New Roman" w:cs="Times New Roman"/>
          <w:sz w:val="28"/>
          <w:szCs w:val="28"/>
        </w:rPr>
        <w:t>15, Corte Europea dei Diritti dell’Uomo 2002-VIII). L’obbligo di esaurire le vie di ricorso interne richiede al ricorrente di fare un uso normale dei rimedi che sono efficaci, sufficienti ed accessibili relativamente ai motivi di lagnanza della Convenzione.</w:t>
      </w:r>
      <w:r w:rsidR="0024196F">
        <w:rPr>
          <w:rFonts w:ascii="Times New Roman" w:hAnsi="Times New Roman" w:cs="Times New Roman"/>
          <w:sz w:val="28"/>
          <w:szCs w:val="28"/>
        </w:rPr>
        <w:t xml:space="preserve"> </w:t>
      </w:r>
      <w:r w:rsidRPr="0024196F">
        <w:rPr>
          <w:rFonts w:ascii="Times New Roman" w:hAnsi="Times New Roman" w:cs="Times New Roman"/>
          <w:sz w:val="28"/>
          <w:szCs w:val="28"/>
        </w:rPr>
        <w:t xml:space="preserve">Per essere efficace, un rimedio deve essere in grado di risolvere direttamente la situazione contestata (vedi </w:t>
      </w:r>
      <w:proofErr w:type="spellStart"/>
      <w:r w:rsidRPr="0024196F">
        <w:rPr>
          <w:rFonts w:ascii="Times New Roman" w:hAnsi="Times New Roman" w:cs="Times New Roman"/>
          <w:i/>
          <w:sz w:val="28"/>
          <w:szCs w:val="28"/>
        </w:rPr>
        <w:t>Balogh</w:t>
      </w:r>
      <w:proofErr w:type="spellEnd"/>
      <w:r w:rsidRPr="0024196F">
        <w:rPr>
          <w:rFonts w:ascii="Times New Roman" w:hAnsi="Times New Roman" w:cs="Times New Roman"/>
          <w:i/>
          <w:sz w:val="28"/>
          <w:szCs w:val="28"/>
        </w:rPr>
        <w:t xml:space="preserve"> c. Ungheria</w:t>
      </w:r>
      <w:r w:rsidRPr="0024196F">
        <w:rPr>
          <w:rFonts w:ascii="Times New Roman" w:hAnsi="Times New Roman" w:cs="Times New Roman"/>
          <w:sz w:val="28"/>
          <w:szCs w:val="28"/>
        </w:rPr>
        <w:t>, n. 47940/99 30, 20 luglio 2004).</w:t>
      </w:r>
    </w:p>
    <w:p w:rsidR="002A33E4" w:rsidRDefault="002A33E4" w:rsidP="0024196F">
      <w:pPr>
        <w:pStyle w:val="Paragrafoelenco"/>
        <w:numPr>
          <w:ilvl w:val="0"/>
          <w:numId w:val="1"/>
        </w:numPr>
        <w:tabs>
          <w:tab w:val="left" w:pos="1134"/>
        </w:tabs>
        <w:spacing w:after="120" w:line="240" w:lineRule="auto"/>
        <w:ind w:left="284" w:firstLine="283"/>
        <w:contextualSpacing w:val="0"/>
        <w:jc w:val="both"/>
        <w:rPr>
          <w:rFonts w:ascii="Times New Roman" w:hAnsi="Times New Roman" w:cs="Times New Roman"/>
          <w:sz w:val="28"/>
          <w:szCs w:val="28"/>
        </w:rPr>
      </w:pPr>
      <w:r>
        <w:rPr>
          <w:rFonts w:ascii="Times New Roman" w:hAnsi="Times New Roman" w:cs="Times New Roman"/>
          <w:sz w:val="28"/>
          <w:szCs w:val="28"/>
        </w:rPr>
        <w:t xml:space="preserve">La regola dell’esaurimento dei rimedi interni normalmente richiede che le lamentele che verranno fatte successivamente a livello internazionale dovrebbero essere sollevate davanti alle Corti interne, almeno nella sostanza ed in conformità ai requisiti formali ed ai limiti di tempo stabiliti dal diritto interno. Lo scopo della norma che stabilisce che siano esauriti i rimedi interni deve consentire alle autorità nazionali (in primo luogo la magistratura) di far fronte ad una denuncia che un diritto della Convenzione sia stato violato e, se possibile, porre rimedio prima che tale denuncia sia presentata alla Corte. Nella misura in cui esiste a livello nazionale un rimedio che consente alla corti nazionali di affrontare, almeno nella sostanza, un’argomentazione relativa ad una dedotta violazione di un diritto della Convenzione, è quel rimedio che dovrebbe essere utilizzato (vedi </w:t>
      </w:r>
      <w:proofErr w:type="spellStart"/>
      <w:r w:rsidRPr="0011387E">
        <w:rPr>
          <w:rFonts w:ascii="Times New Roman" w:hAnsi="Times New Roman" w:cs="Times New Roman"/>
          <w:i/>
          <w:sz w:val="28"/>
          <w:szCs w:val="28"/>
        </w:rPr>
        <w:t>Azinas</w:t>
      </w:r>
      <w:proofErr w:type="spellEnd"/>
      <w:r w:rsidRPr="0011387E">
        <w:rPr>
          <w:rFonts w:ascii="Times New Roman" w:hAnsi="Times New Roman" w:cs="Times New Roman"/>
          <w:i/>
          <w:sz w:val="28"/>
          <w:szCs w:val="28"/>
        </w:rPr>
        <w:t xml:space="preserve"> c. Cipro</w:t>
      </w:r>
      <w:r>
        <w:rPr>
          <w:rFonts w:ascii="Times New Roman" w:hAnsi="Times New Roman" w:cs="Times New Roman"/>
          <w:sz w:val="28"/>
          <w:szCs w:val="28"/>
        </w:rPr>
        <w:t xml:space="preserve"> [Grande Camera], n. 56679/00, § 38, Corte Europea dei diritti dell’Uomo 2004 –III).</w:t>
      </w:r>
    </w:p>
    <w:p w:rsidR="002A33E4" w:rsidRDefault="002A33E4" w:rsidP="0024196F">
      <w:pPr>
        <w:tabs>
          <w:tab w:val="left" w:pos="993"/>
        </w:tabs>
        <w:spacing w:after="12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41.</w:t>
      </w:r>
      <w:r w:rsidR="00BC364A">
        <w:rPr>
          <w:rFonts w:ascii="Times New Roman" w:hAnsi="Times New Roman" w:cs="Times New Roman"/>
          <w:sz w:val="28"/>
          <w:szCs w:val="28"/>
        </w:rPr>
        <w:t xml:space="preserve"> </w:t>
      </w:r>
      <w:r>
        <w:rPr>
          <w:rFonts w:ascii="Times New Roman" w:hAnsi="Times New Roman" w:cs="Times New Roman"/>
          <w:sz w:val="28"/>
          <w:szCs w:val="28"/>
        </w:rPr>
        <w:t xml:space="preserve">Per quanto riguarda i rimedi relativi alle condizioni di detenzione in Croazia, la Corte ha ritenuto che una lamentela presentata alla competente autorità giudiziaria o all’amministrazione penitenziaria è un rimedio efficace, poiché può portare a rimuovere le condizioni detentive inadeguate del ricorrente. Inoltre, in caso di risultati sfavorevoli, il ricorrente può ancora dar seguito alle denunce davanti alla Corte Costituzionale (vedi </w:t>
      </w:r>
      <w:proofErr w:type="spellStart"/>
      <w:r w:rsidRPr="00B33DD1">
        <w:rPr>
          <w:rFonts w:ascii="Times New Roman" w:hAnsi="Times New Roman" w:cs="Times New Roman"/>
          <w:i/>
          <w:sz w:val="28"/>
          <w:szCs w:val="28"/>
        </w:rPr>
        <w:t>Štitić</w:t>
      </w:r>
      <w:proofErr w:type="spellEnd"/>
      <w:r w:rsidRPr="00B33DD1">
        <w:rPr>
          <w:rFonts w:ascii="Times New Roman" w:hAnsi="Times New Roman" w:cs="Times New Roman"/>
          <w:i/>
          <w:sz w:val="28"/>
          <w:szCs w:val="28"/>
        </w:rPr>
        <w:t xml:space="preserve"> c. Croazia</w:t>
      </w:r>
      <w:r>
        <w:rPr>
          <w:rFonts w:ascii="Times New Roman" w:hAnsi="Times New Roman" w:cs="Times New Roman"/>
          <w:sz w:val="28"/>
          <w:szCs w:val="28"/>
        </w:rPr>
        <w:t xml:space="preserve"> decisione n. 29660/03, 9 novembre 2006, e </w:t>
      </w:r>
      <w:proofErr w:type="spellStart"/>
      <w:r w:rsidRPr="00B33DD1">
        <w:rPr>
          <w:rFonts w:ascii="Times New Roman" w:hAnsi="Times New Roman" w:cs="Times New Roman"/>
          <w:i/>
          <w:sz w:val="28"/>
          <w:szCs w:val="28"/>
        </w:rPr>
        <w:t>Dolonec</w:t>
      </w:r>
      <w:proofErr w:type="spellEnd"/>
      <w:r w:rsidRPr="00B33DD1">
        <w:rPr>
          <w:rFonts w:ascii="Times New Roman" w:hAnsi="Times New Roman" w:cs="Times New Roman"/>
          <w:i/>
          <w:sz w:val="28"/>
          <w:szCs w:val="28"/>
        </w:rPr>
        <w:t xml:space="preserve"> c. Croazia</w:t>
      </w:r>
      <w:r>
        <w:rPr>
          <w:rFonts w:ascii="Times New Roman" w:hAnsi="Times New Roman" w:cs="Times New Roman"/>
          <w:sz w:val="28"/>
          <w:szCs w:val="28"/>
        </w:rPr>
        <w:t>, n. 25282/06, § 113, 26 novembre 2009), che ha anche la competenza di disporre la scarcerazione o la rimozione</w:t>
      </w:r>
      <w:r w:rsidR="00BC364A">
        <w:rPr>
          <w:rFonts w:ascii="Times New Roman" w:hAnsi="Times New Roman" w:cs="Times New Roman"/>
          <w:sz w:val="28"/>
          <w:szCs w:val="28"/>
        </w:rPr>
        <w:t xml:space="preserve"> </w:t>
      </w:r>
      <w:r>
        <w:rPr>
          <w:rFonts w:ascii="Times New Roman" w:hAnsi="Times New Roman" w:cs="Times New Roman"/>
          <w:sz w:val="28"/>
          <w:szCs w:val="28"/>
        </w:rPr>
        <w:t>delle condizioni detentive inadeguate (vedi</w:t>
      </w:r>
      <w:r w:rsidRPr="00B33DD1">
        <w:rPr>
          <w:rFonts w:ascii="Times New Roman" w:hAnsi="Times New Roman" w:cs="Times New Roman"/>
          <w:i/>
          <w:sz w:val="28"/>
          <w:szCs w:val="28"/>
        </w:rPr>
        <w:t>, inter alia</w:t>
      </w:r>
      <w:r>
        <w:rPr>
          <w:rFonts w:ascii="Times New Roman" w:hAnsi="Times New Roman" w:cs="Times New Roman"/>
          <w:sz w:val="28"/>
          <w:szCs w:val="28"/>
        </w:rPr>
        <w:t xml:space="preserve">, </w:t>
      </w:r>
      <w:proofErr w:type="spellStart"/>
      <w:r w:rsidRPr="00B33DD1">
        <w:rPr>
          <w:rFonts w:ascii="Times New Roman" w:hAnsi="Times New Roman" w:cs="Times New Roman"/>
          <w:i/>
          <w:sz w:val="28"/>
          <w:szCs w:val="28"/>
        </w:rPr>
        <w:t>Peša</w:t>
      </w:r>
      <w:proofErr w:type="spellEnd"/>
      <w:r w:rsidRPr="00B33DD1">
        <w:rPr>
          <w:rFonts w:ascii="Times New Roman" w:hAnsi="Times New Roman" w:cs="Times New Roman"/>
          <w:i/>
          <w:sz w:val="28"/>
          <w:szCs w:val="28"/>
        </w:rPr>
        <w:t xml:space="preserve"> c. Croazia</w:t>
      </w:r>
      <w:r>
        <w:rPr>
          <w:rFonts w:ascii="Times New Roman" w:hAnsi="Times New Roman" w:cs="Times New Roman"/>
          <w:sz w:val="28"/>
          <w:szCs w:val="28"/>
        </w:rPr>
        <w:t>, n. 40523/08, § 80, 8 aprile 2010). In realtà, al fine di conformarsi ai principi di sussidiarietà, ai ricorrenti è richiesto, prima di presentare le loro lagnanze alla Corte, di offrire alla Corte Costituzionale croata l’opportunità di rimediare alla loro situazione</w:t>
      </w:r>
      <w:r w:rsidR="00BC364A">
        <w:rPr>
          <w:rFonts w:ascii="Times New Roman" w:hAnsi="Times New Roman" w:cs="Times New Roman"/>
          <w:sz w:val="28"/>
          <w:szCs w:val="28"/>
        </w:rPr>
        <w:t xml:space="preserve"> </w:t>
      </w:r>
      <w:r>
        <w:rPr>
          <w:rFonts w:ascii="Times New Roman" w:hAnsi="Times New Roman" w:cs="Times New Roman"/>
          <w:sz w:val="28"/>
          <w:szCs w:val="28"/>
        </w:rPr>
        <w:t xml:space="preserve">e di affrontare le problematiche che intendono portare davanti alla Corte (vedi </w:t>
      </w:r>
      <w:proofErr w:type="spellStart"/>
      <w:r w:rsidRPr="00F80EC8">
        <w:rPr>
          <w:rFonts w:ascii="Times New Roman" w:hAnsi="Times New Roman" w:cs="Times New Roman"/>
          <w:i/>
          <w:sz w:val="28"/>
          <w:szCs w:val="28"/>
        </w:rPr>
        <w:t>Bučkal</w:t>
      </w:r>
      <w:proofErr w:type="spellEnd"/>
      <w:r w:rsidRPr="00F80EC8">
        <w:rPr>
          <w:rFonts w:ascii="Times New Roman" w:hAnsi="Times New Roman" w:cs="Times New Roman"/>
          <w:i/>
          <w:sz w:val="28"/>
          <w:szCs w:val="28"/>
        </w:rPr>
        <w:t xml:space="preserve"> c. Croazia</w:t>
      </w:r>
      <w:r>
        <w:rPr>
          <w:rFonts w:ascii="Times New Roman" w:hAnsi="Times New Roman" w:cs="Times New Roman"/>
          <w:sz w:val="28"/>
          <w:szCs w:val="28"/>
        </w:rPr>
        <w:t xml:space="preserve"> (decisione), n. 29597/10, § 20, 3 aprile 2012, e </w:t>
      </w:r>
      <w:proofErr w:type="spellStart"/>
      <w:r w:rsidRPr="00F80EC8">
        <w:rPr>
          <w:rFonts w:ascii="Times New Roman" w:hAnsi="Times New Roman" w:cs="Times New Roman"/>
          <w:i/>
          <w:sz w:val="28"/>
          <w:szCs w:val="28"/>
        </w:rPr>
        <w:t>Longin</w:t>
      </w:r>
      <w:proofErr w:type="spellEnd"/>
      <w:r w:rsidRPr="00F80EC8">
        <w:rPr>
          <w:rFonts w:ascii="Times New Roman" w:hAnsi="Times New Roman" w:cs="Times New Roman"/>
          <w:i/>
          <w:sz w:val="28"/>
          <w:szCs w:val="28"/>
        </w:rPr>
        <w:t xml:space="preserve"> c. Croazia</w:t>
      </w:r>
      <w:r>
        <w:rPr>
          <w:rFonts w:ascii="Times New Roman" w:hAnsi="Times New Roman" w:cs="Times New Roman"/>
          <w:sz w:val="28"/>
          <w:szCs w:val="28"/>
        </w:rPr>
        <w:t>, n. 49268/10, § 36, 6 novembre 2012).</w:t>
      </w:r>
    </w:p>
    <w:p w:rsidR="002A33E4" w:rsidRDefault="002A33E4" w:rsidP="0024196F">
      <w:pPr>
        <w:tabs>
          <w:tab w:val="left" w:pos="993"/>
        </w:tabs>
        <w:spacing w:after="12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42. La Corte rileva che è vero che nel suo reclamo costituzionale, il ricorrente in realtà non si è basato sugli articoli 23 e 25 della Costituzione, disposizioni che si può dire corrispondono all’articolo 3 della Convenzione. Né si è basato direttamente sull’articolo 3 della Convenzione. Invece, egli ha fatto riferimento agli articoli 14 § 2, 26 e 29 della Costituzione, disposizioni che corrispondono agli articoli 6 e 14 della Convenzione ed all’articolo 1</w:t>
      </w:r>
      <w:r w:rsidR="00BC364A">
        <w:rPr>
          <w:rFonts w:ascii="Times New Roman" w:hAnsi="Times New Roman" w:cs="Times New Roman"/>
          <w:sz w:val="28"/>
          <w:szCs w:val="28"/>
        </w:rPr>
        <w:t xml:space="preserve"> </w:t>
      </w:r>
      <w:r>
        <w:rPr>
          <w:rFonts w:ascii="Times New Roman" w:hAnsi="Times New Roman" w:cs="Times New Roman"/>
          <w:sz w:val="28"/>
          <w:szCs w:val="28"/>
        </w:rPr>
        <w:t>del Protocollo</w:t>
      </w:r>
      <w:r w:rsidR="00BC364A">
        <w:rPr>
          <w:rFonts w:ascii="Times New Roman" w:hAnsi="Times New Roman" w:cs="Times New Roman"/>
          <w:sz w:val="28"/>
          <w:szCs w:val="28"/>
        </w:rPr>
        <w:t xml:space="preserve"> </w:t>
      </w:r>
      <w:r>
        <w:rPr>
          <w:rFonts w:ascii="Times New Roman" w:hAnsi="Times New Roman" w:cs="Times New Roman"/>
          <w:sz w:val="28"/>
          <w:szCs w:val="28"/>
        </w:rPr>
        <w:t xml:space="preserve">N. 12 annesso (vedi precedente paragrafo 32 e vedi come termine di paragone </w:t>
      </w:r>
      <w:proofErr w:type="spellStart"/>
      <w:r w:rsidRPr="00A43414">
        <w:rPr>
          <w:rFonts w:ascii="Times New Roman" w:hAnsi="Times New Roman" w:cs="Times New Roman"/>
          <w:i/>
          <w:sz w:val="28"/>
          <w:szCs w:val="28"/>
        </w:rPr>
        <w:t>Merot</w:t>
      </w:r>
      <w:proofErr w:type="spellEnd"/>
      <w:r w:rsidRPr="00A43414">
        <w:rPr>
          <w:rFonts w:ascii="Times New Roman" w:hAnsi="Times New Roman" w:cs="Times New Roman"/>
          <w:i/>
          <w:sz w:val="28"/>
          <w:szCs w:val="28"/>
        </w:rPr>
        <w:t xml:space="preserve"> </w:t>
      </w:r>
      <w:proofErr w:type="spellStart"/>
      <w:r w:rsidRPr="00A43414">
        <w:rPr>
          <w:rFonts w:ascii="Times New Roman" w:hAnsi="Times New Roman" w:cs="Times New Roman"/>
          <w:i/>
          <w:sz w:val="28"/>
          <w:szCs w:val="28"/>
        </w:rPr>
        <w:t>d.o.o</w:t>
      </w:r>
      <w:proofErr w:type="spellEnd"/>
      <w:r w:rsidRPr="00A43414">
        <w:rPr>
          <w:rFonts w:ascii="Times New Roman" w:hAnsi="Times New Roman" w:cs="Times New Roman"/>
          <w:i/>
          <w:sz w:val="28"/>
          <w:szCs w:val="28"/>
        </w:rPr>
        <w:t xml:space="preserve">. e </w:t>
      </w:r>
      <w:proofErr w:type="spellStart"/>
      <w:r w:rsidRPr="00A43414">
        <w:rPr>
          <w:rFonts w:ascii="Times New Roman" w:hAnsi="Times New Roman" w:cs="Times New Roman"/>
          <w:i/>
          <w:sz w:val="28"/>
          <w:szCs w:val="28"/>
        </w:rPr>
        <w:t>Storitve</w:t>
      </w:r>
      <w:proofErr w:type="spellEnd"/>
      <w:r w:rsidRPr="00A43414">
        <w:rPr>
          <w:rFonts w:ascii="Times New Roman" w:hAnsi="Times New Roman" w:cs="Times New Roman"/>
          <w:i/>
          <w:sz w:val="28"/>
          <w:szCs w:val="28"/>
        </w:rPr>
        <w:t xml:space="preserve"> Tir </w:t>
      </w:r>
      <w:proofErr w:type="spellStart"/>
      <w:r w:rsidRPr="00A43414">
        <w:rPr>
          <w:rFonts w:ascii="Times New Roman" w:hAnsi="Times New Roman" w:cs="Times New Roman"/>
          <w:i/>
          <w:sz w:val="28"/>
          <w:szCs w:val="28"/>
        </w:rPr>
        <w:t>d.o.o</w:t>
      </w:r>
      <w:proofErr w:type="spellEnd"/>
      <w:r w:rsidRPr="00A43414">
        <w:rPr>
          <w:rFonts w:ascii="Times New Roman" w:hAnsi="Times New Roman" w:cs="Times New Roman"/>
          <w:i/>
          <w:sz w:val="28"/>
          <w:szCs w:val="28"/>
        </w:rPr>
        <w:t>. c. Croazia</w:t>
      </w:r>
      <w:r>
        <w:rPr>
          <w:rFonts w:ascii="Times New Roman" w:hAnsi="Times New Roman" w:cs="Times New Roman"/>
          <w:sz w:val="28"/>
          <w:szCs w:val="28"/>
        </w:rPr>
        <w:t xml:space="preserve"> (decisione), n. 29426/08 e 29737/08, § 35, 10 dicembre 2013).</w:t>
      </w:r>
    </w:p>
    <w:p w:rsidR="002A33E4" w:rsidRDefault="002A33E4" w:rsidP="0024196F">
      <w:pPr>
        <w:tabs>
          <w:tab w:val="left" w:pos="993"/>
        </w:tabs>
        <w:spacing w:after="12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43. Tuttavia, il ricorrente si è lamentato presso la Corte Costituzionale nella sostanza che i suoi diritti erano stati violati a causa della mancanza di spazio personale e di opportunità di lavoro nel carcere di </w:t>
      </w:r>
      <w:proofErr w:type="spellStart"/>
      <w:r>
        <w:rPr>
          <w:rFonts w:ascii="Times New Roman" w:hAnsi="Times New Roman" w:cs="Times New Roman"/>
          <w:sz w:val="28"/>
          <w:szCs w:val="28"/>
        </w:rPr>
        <w:t>Bjelovar</w:t>
      </w:r>
      <w:proofErr w:type="spellEnd"/>
      <w:r>
        <w:rPr>
          <w:rFonts w:ascii="Times New Roman" w:hAnsi="Times New Roman" w:cs="Times New Roman"/>
          <w:sz w:val="28"/>
          <w:szCs w:val="28"/>
        </w:rPr>
        <w:t xml:space="preserve"> (vedi precedente paragrafo 25). Quindi, la Corte ritiene che il ricorrente, presentando nella sostanza i suoi reclami davanti alla Corte Costituzionale, ha correttamente esaurito le vie di ricorso interne (vedi come termine di paragone </w:t>
      </w:r>
      <w:proofErr w:type="spellStart"/>
      <w:r w:rsidRPr="00BC2A35">
        <w:rPr>
          <w:rFonts w:ascii="Times New Roman" w:hAnsi="Times New Roman" w:cs="Times New Roman"/>
          <w:i/>
          <w:sz w:val="28"/>
          <w:szCs w:val="28"/>
        </w:rPr>
        <w:t>Jačimovič</w:t>
      </w:r>
      <w:proofErr w:type="spellEnd"/>
      <w:r w:rsidRPr="00BC2A35">
        <w:rPr>
          <w:rFonts w:ascii="Times New Roman" w:hAnsi="Times New Roman" w:cs="Times New Roman"/>
          <w:i/>
          <w:sz w:val="28"/>
          <w:szCs w:val="28"/>
        </w:rPr>
        <w:t xml:space="preserve"> c. Croazia</w:t>
      </w:r>
      <w:r>
        <w:rPr>
          <w:rFonts w:ascii="Times New Roman" w:hAnsi="Times New Roman" w:cs="Times New Roman"/>
          <w:sz w:val="28"/>
          <w:szCs w:val="28"/>
        </w:rPr>
        <w:t xml:space="preserve">, n. 22688/09, §§ 40-41, 31 ottobre 2013; e, per contrasto, </w:t>
      </w:r>
      <w:proofErr w:type="spellStart"/>
      <w:r w:rsidRPr="00A43414">
        <w:rPr>
          <w:rFonts w:ascii="Times New Roman" w:hAnsi="Times New Roman" w:cs="Times New Roman"/>
          <w:i/>
          <w:sz w:val="28"/>
          <w:szCs w:val="28"/>
        </w:rPr>
        <w:t>Merot</w:t>
      </w:r>
      <w:proofErr w:type="spellEnd"/>
      <w:r w:rsidRPr="00A43414">
        <w:rPr>
          <w:rFonts w:ascii="Times New Roman" w:hAnsi="Times New Roman" w:cs="Times New Roman"/>
          <w:i/>
          <w:sz w:val="28"/>
          <w:szCs w:val="28"/>
        </w:rPr>
        <w:t xml:space="preserve"> </w:t>
      </w:r>
      <w:proofErr w:type="spellStart"/>
      <w:r w:rsidRPr="00A43414">
        <w:rPr>
          <w:rFonts w:ascii="Times New Roman" w:hAnsi="Times New Roman" w:cs="Times New Roman"/>
          <w:i/>
          <w:sz w:val="28"/>
          <w:szCs w:val="28"/>
        </w:rPr>
        <w:t>d.o.o</w:t>
      </w:r>
      <w:proofErr w:type="spellEnd"/>
      <w:r w:rsidRPr="00A43414">
        <w:rPr>
          <w:rFonts w:ascii="Times New Roman" w:hAnsi="Times New Roman" w:cs="Times New Roman"/>
          <w:i/>
          <w:sz w:val="28"/>
          <w:szCs w:val="28"/>
        </w:rPr>
        <w:t xml:space="preserve">. e </w:t>
      </w:r>
      <w:proofErr w:type="spellStart"/>
      <w:r w:rsidRPr="00A43414">
        <w:rPr>
          <w:rFonts w:ascii="Times New Roman" w:hAnsi="Times New Roman" w:cs="Times New Roman"/>
          <w:i/>
          <w:sz w:val="28"/>
          <w:szCs w:val="28"/>
        </w:rPr>
        <w:t>Storitve</w:t>
      </w:r>
      <w:proofErr w:type="spellEnd"/>
      <w:r w:rsidRPr="00A43414">
        <w:rPr>
          <w:rFonts w:ascii="Times New Roman" w:hAnsi="Times New Roman" w:cs="Times New Roman"/>
          <w:i/>
          <w:sz w:val="28"/>
          <w:szCs w:val="28"/>
        </w:rPr>
        <w:t xml:space="preserve"> Tir </w:t>
      </w:r>
      <w:proofErr w:type="spellStart"/>
      <w:r w:rsidRPr="00A43414">
        <w:rPr>
          <w:rFonts w:ascii="Times New Roman" w:hAnsi="Times New Roman" w:cs="Times New Roman"/>
          <w:i/>
          <w:sz w:val="28"/>
          <w:szCs w:val="28"/>
        </w:rPr>
        <w:t>d.o.o</w:t>
      </w:r>
      <w:proofErr w:type="spellEnd"/>
      <w:r w:rsidRPr="00A43414">
        <w:rPr>
          <w:rFonts w:ascii="Times New Roman" w:hAnsi="Times New Roman" w:cs="Times New Roman"/>
          <w:i/>
          <w:sz w:val="28"/>
          <w:szCs w:val="28"/>
        </w:rPr>
        <w:t>. c.</w:t>
      </w:r>
      <w:r>
        <w:rPr>
          <w:rFonts w:ascii="Times New Roman" w:hAnsi="Times New Roman" w:cs="Times New Roman"/>
          <w:i/>
          <w:sz w:val="28"/>
          <w:szCs w:val="28"/>
        </w:rPr>
        <w:t xml:space="preserve">, </w:t>
      </w:r>
      <w:r w:rsidRPr="004709A1">
        <w:rPr>
          <w:rFonts w:ascii="Times New Roman" w:hAnsi="Times New Roman" w:cs="Times New Roman"/>
          <w:sz w:val="28"/>
          <w:szCs w:val="28"/>
        </w:rPr>
        <w:t>citato</w:t>
      </w:r>
      <w:r>
        <w:rPr>
          <w:rFonts w:ascii="Times New Roman" w:hAnsi="Times New Roman" w:cs="Times New Roman"/>
          <w:sz w:val="28"/>
          <w:szCs w:val="28"/>
        </w:rPr>
        <w:t xml:space="preserve"> prima, § 36). La Corte perciò rigetta l’obiezione del Governo.</w:t>
      </w:r>
    </w:p>
    <w:p w:rsidR="002A33E4" w:rsidRPr="004709A1" w:rsidRDefault="002A33E4" w:rsidP="0024196F">
      <w:pPr>
        <w:tabs>
          <w:tab w:val="left" w:pos="993"/>
        </w:tabs>
        <w:spacing w:after="12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44. La Corte rileva ulteriormente che la lamentela del ricorrente sulle condizioni della sua detenzione nel carcere di </w:t>
      </w:r>
      <w:proofErr w:type="spellStart"/>
      <w:r>
        <w:rPr>
          <w:rFonts w:ascii="Times New Roman" w:hAnsi="Times New Roman" w:cs="Times New Roman"/>
          <w:sz w:val="28"/>
          <w:szCs w:val="28"/>
        </w:rPr>
        <w:t>Bjelovar</w:t>
      </w:r>
      <w:proofErr w:type="spellEnd"/>
      <w:r>
        <w:rPr>
          <w:rFonts w:ascii="Times New Roman" w:hAnsi="Times New Roman" w:cs="Times New Roman"/>
          <w:sz w:val="28"/>
          <w:szCs w:val="28"/>
        </w:rPr>
        <w:t xml:space="preserve"> non è manifestamente infondata</w:t>
      </w:r>
      <w:r w:rsidR="00BC364A">
        <w:rPr>
          <w:rFonts w:ascii="Times New Roman" w:hAnsi="Times New Roman" w:cs="Times New Roman"/>
          <w:sz w:val="28"/>
          <w:szCs w:val="28"/>
        </w:rPr>
        <w:t xml:space="preserve"> </w:t>
      </w:r>
      <w:r>
        <w:rPr>
          <w:rFonts w:ascii="Times New Roman" w:hAnsi="Times New Roman" w:cs="Times New Roman"/>
          <w:sz w:val="28"/>
          <w:szCs w:val="28"/>
        </w:rPr>
        <w:t>ai sensi dell’articolo 35 § 3 (a) della Convenzione. Non è inammissibile per altri motivi. Deve perciò essere dichiarata ammissibile.</w:t>
      </w:r>
    </w:p>
    <w:p w:rsidR="000D3E08" w:rsidRDefault="000D3E08" w:rsidP="007B3FFC">
      <w:pPr>
        <w:spacing w:after="0" w:line="240" w:lineRule="auto"/>
        <w:jc w:val="both"/>
        <w:rPr>
          <w:rFonts w:ascii="Times New Roman" w:hAnsi="Times New Roman" w:cs="Times New Roman"/>
          <w:sz w:val="28"/>
          <w:szCs w:val="28"/>
        </w:rPr>
      </w:pPr>
    </w:p>
    <w:p w:rsidR="0017635F" w:rsidRPr="0024196F" w:rsidRDefault="0017635F" w:rsidP="0017635F">
      <w:pPr>
        <w:spacing w:after="0" w:line="240" w:lineRule="auto"/>
        <w:ind w:firstLine="426"/>
        <w:rPr>
          <w:rFonts w:ascii="Times New Roman" w:hAnsi="Times New Roman" w:cs="Times New Roman"/>
          <w:b/>
          <w:sz w:val="28"/>
          <w:szCs w:val="24"/>
        </w:rPr>
      </w:pPr>
      <w:r w:rsidRPr="0024196F">
        <w:rPr>
          <w:rFonts w:ascii="Times New Roman" w:hAnsi="Times New Roman" w:cs="Times New Roman"/>
          <w:b/>
          <w:sz w:val="28"/>
          <w:szCs w:val="24"/>
        </w:rPr>
        <w:t xml:space="preserve">B. Merito </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17635F">
      <w:pPr>
        <w:pStyle w:val="Paragrafoelenco"/>
        <w:numPr>
          <w:ilvl w:val="0"/>
          <w:numId w:val="17"/>
        </w:numPr>
        <w:spacing w:after="0" w:line="240" w:lineRule="auto"/>
        <w:ind w:left="1134"/>
        <w:rPr>
          <w:rFonts w:ascii="Times New Roman" w:hAnsi="Times New Roman" w:cs="Times New Roman"/>
          <w:i/>
          <w:sz w:val="28"/>
          <w:szCs w:val="24"/>
        </w:rPr>
      </w:pPr>
      <w:r w:rsidRPr="0024196F">
        <w:rPr>
          <w:rFonts w:ascii="Times New Roman" w:hAnsi="Times New Roman" w:cs="Times New Roman"/>
          <w:i/>
          <w:sz w:val="28"/>
          <w:szCs w:val="24"/>
        </w:rPr>
        <w:t>Le argomentazioni delle parti</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8E5164" w:rsidP="0017635F">
      <w:pPr>
        <w:pStyle w:val="Paragrafoelenco"/>
        <w:numPr>
          <w:ilvl w:val="0"/>
          <w:numId w:val="18"/>
        </w:numPr>
        <w:spacing w:after="0" w:line="240" w:lineRule="auto"/>
        <w:ind w:left="1418"/>
        <w:rPr>
          <w:rFonts w:ascii="Times New Roman" w:hAnsi="Times New Roman" w:cs="Times New Roman"/>
          <w:b/>
          <w:sz w:val="28"/>
          <w:szCs w:val="24"/>
        </w:rPr>
      </w:pPr>
      <w:r>
        <w:rPr>
          <w:rFonts w:ascii="Times New Roman" w:hAnsi="Times New Roman" w:cs="Times New Roman"/>
          <w:b/>
          <w:sz w:val="28"/>
          <w:szCs w:val="24"/>
        </w:rPr>
        <w:t xml:space="preserve"> </w:t>
      </w:r>
      <w:r w:rsidR="0017635F" w:rsidRPr="0024196F">
        <w:rPr>
          <w:rFonts w:ascii="Times New Roman" w:hAnsi="Times New Roman" w:cs="Times New Roman"/>
          <w:b/>
          <w:sz w:val="28"/>
          <w:szCs w:val="24"/>
        </w:rPr>
        <w:t xml:space="preserve">Il ricorrente </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24196F">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45. Il ricorrente ha asserito che le celle in cui era stato assegnato nel corso della sua permanenza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non avevano fornito un adeguato spazio personale per ogni detenuto e non avevano sufficiente numero di sedie e armadi. Inoltre, il cibo era scarso e anche le condizioni igieniche erano inadeguate, considerato in particolare che la zona del gabinetto non era adeguatamente separata dal resto della cella. Inoltre, le attività ricreative ed educative arano insufficienti ed egli non era stato impegnato in nessuna attività lavorativa. Il ricorrente ha sottolineato che le informazioni fornite dal Governo relative allo spazio personale che egli ha avuto a disposizione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riguardavano una superficie personale media di 3,59 metri quadri, che avrebbe potuto essere tale soltanto se il Governo avesse tenuto conto dei brevi periodi in cui uno dei suoi compagni di cella era stato trasferito in un’altra cella, e se avessero compreso anche la superficie della toilette nel calcolo dello spazio totale. Il Governo pertanto aveva svolto dei calcoli sbagliati per quanto riguarda le celle cui egli era stato detenuto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Il ricorrente asseriva che, in ogni caso, sia che la Corte accettasse sia che non accettasse le osservazioni del Governo a tal riguardo, rimaneva il fatto che</w:t>
      </w:r>
      <w:r w:rsidR="00891AC9">
        <w:rPr>
          <w:rFonts w:ascii="Times New Roman" w:hAnsi="Times New Roman" w:cs="Times New Roman"/>
          <w:sz w:val="28"/>
          <w:szCs w:val="24"/>
        </w:rPr>
        <w:t xml:space="preserve"> </w:t>
      </w:r>
      <w:r w:rsidRPr="0024196F">
        <w:rPr>
          <w:rFonts w:ascii="Times New Roman" w:hAnsi="Times New Roman" w:cs="Times New Roman"/>
          <w:sz w:val="28"/>
          <w:szCs w:val="24"/>
        </w:rPr>
        <w:t>egli era stato assegnato a celle sovraffollate, tenendo conto in particolare dello spazio personale necessario di 4 metri quadri per ogni detenuto.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8E5164" w:rsidP="0017635F">
      <w:pPr>
        <w:pStyle w:val="Paragrafoelenco"/>
        <w:numPr>
          <w:ilvl w:val="0"/>
          <w:numId w:val="18"/>
        </w:numPr>
        <w:spacing w:after="0" w:line="240" w:lineRule="auto"/>
        <w:ind w:left="1418"/>
        <w:jc w:val="both"/>
        <w:rPr>
          <w:rFonts w:ascii="Times New Roman" w:hAnsi="Times New Roman" w:cs="Times New Roman"/>
          <w:b/>
          <w:sz w:val="28"/>
          <w:szCs w:val="24"/>
        </w:rPr>
      </w:pPr>
      <w:r>
        <w:rPr>
          <w:rFonts w:ascii="Times New Roman" w:hAnsi="Times New Roman" w:cs="Times New Roman"/>
          <w:b/>
          <w:sz w:val="28"/>
          <w:szCs w:val="24"/>
        </w:rPr>
        <w:t xml:space="preserve"> </w:t>
      </w:r>
      <w:r w:rsidR="0017635F" w:rsidRPr="0024196F">
        <w:rPr>
          <w:rFonts w:ascii="Times New Roman" w:hAnsi="Times New Roman" w:cs="Times New Roman"/>
          <w:b/>
          <w:sz w:val="28"/>
          <w:szCs w:val="24"/>
        </w:rPr>
        <w:t>Il Governo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24196F">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46. Il Governo ha sostenuto che quando era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il ricorrente aveva avuto a disposizione uno spazio medio personale di 3,59 metri quadri, superficie solo leggermente al di sotto dello standard minimo di 4 metri quadri previsti dalla Legge sull’esecuzione delle condanne alla reclusione. Il Governo ha portato l’esempio della cella 8/O, in cui il ricorrente era stato collocato per solo un giorno (21 aprile 2010) con altri sette detenuti. Fra il 30 aprile ed il 30 giugno 2010, egli aveva disposto di uno spazio personale o di 3,81 o di 4,58 metri quadri. Similmente, nella cella n. 1/O, fra l’11 aprile ed il 20 aprile 2010, il ricorrente aveva disposto di 3,94 metri quadri di spazio personale. Fra il 7 settembre ed il 13 novembre 2010, nelle celle 8/O, 8/1 e 4/O, il ricorrente aveva avuto a disposizione uno spazio personale al di sopra dello standard necessario. Soltanto fra il 31 ottobre ed il 5 novembre 2010 egli aveva avuto uno spazio personale fra i 3,7 ed i 3,73 metri quadri. Il Governo ha messo in evidenza che ciò era stato confermato dal giudice dell’esecuzione penale il 7 ottobre 2010, il quale non aveva riscontrato che il ricorrente fosse stato posto in condizioni detentive inadeguate (v. paragrafo 21). Il giudice aveva inoltre riscontrato che al ricorrente erano state fornite adeguate attrezzature igienico-sanitarie. Inoltre, il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era stato ristrutturato continuamente, e questa era una delle ragioni per cui i detenuti erano stati trasferiti da una cella ad un’altra, con conseguente temporanea riduzione dello spazio personale a loro disposizione. </w:t>
      </w:r>
    </w:p>
    <w:p w:rsidR="0017635F" w:rsidRPr="0024196F" w:rsidRDefault="0017635F" w:rsidP="0024196F">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47. Ad ogni modo, a parere del Governo, qualunque riduzione dello spazio personale era stata compensata dalle altre strutture del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Così, tutte le celle in cui il ricorrente era stato detenuto, avevano avuto accesso alla luce naturale ed all’aria, ed anche al riscaldamento ed alla ventilazione. Erano state regolarmente mantenute e rinnovate ed al ricorrente era stato permesso di muoversi liberamente e di impegnarsi in varie attività sportive e ricreative. Per quanto riguarda i suoi reclami inerenti al lavoro in carcere,</w:t>
      </w:r>
      <w:r w:rsidR="00891AC9">
        <w:rPr>
          <w:rFonts w:ascii="Times New Roman" w:hAnsi="Times New Roman" w:cs="Times New Roman"/>
          <w:sz w:val="28"/>
          <w:szCs w:val="24"/>
        </w:rPr>
        <w:t xml:space="preserve"> </w:t>
      </w:r>
      <w:r w:rsidRPr="0024196F">
        <w:rPr>
          <w:rFonts w:ascii="Times New Roman" w:hAnsi="Times New Roman" w:cs="Times New Roman"/>
          <w:sz w:val="28"/>
          <w:szCs w:val="24"/>
        </w:rPr>
        <w:t xml:space="preserve">il Governo ha evidenziato che era stato impossibile garantire un lavoro a tutti i detenuti. Quindi, a causa di una generale mancanza di lavoro, al ricorrente, proprio come ad altri novantadue detenuti, non era stato concesso nessun lavoro nel corso della condanna che egli ha scontato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17635F">
      <w:pPr>
        <w:pStyle w:val="Paragrafoelenco"/>
        <w:spacing w:after="0" w:line="240" w:lineRule="auto"/>
        <w:ind w:left="1134"/>
        <w:rPr>
          <w:rFonts w:ascii="Times New Roman" w:hAnsi="Times New Roman" w:cs="Times New Roman"/>
          <w:i/>
          <w:sz w:val="28"/>
          <w:szCs w:val="24"/>
        </w:rPr>
      </w:pPr>
      <w:r w:rsidRPr="0024196F">
        <w:rPr>
          <w:rFonts w:ascii="Times New Roman" w:hAnsi="Times New Roman" w:cs="Times New Roman"/>
          <w:i/>
          <w:sz w:val="28"/>
          <w:szCs w:val="24"/>
        </w:rPr>
        <w:t>2.</w:t>
      </w:r>
      <w:r w:rsidRPr="0024196F">
        <w:rPr>
          <w:rFonts w:ascii="Times New Roman" w:hAnsi="Times New Roman" w:cs="Times New Roman"/>
          <w:i/>
          <w:sz w:val="28"/>
          <w:szCs w:val="24"/>
        </w:rPr>
        <w:tab/>
        <w:t xml:space="preserve"> La valutazione della Corte</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8E5164" w:rsidP="0017635F">
      <w:pPr>
        <w:pStyle w:val="Paragrafoelenco"/>
        <w:numPr>
          <w:ilvl w:val="0"/>
          <w:numId w:val="19"/>
        </w:numPr>
        <w:spacing w:after="0" w:line="240" w:lineRule="auto"/>
        <w:ind w:left="1418"/>
        <w:rPr>
          <w:rFonts w:ascii="Times New Roman" w:hAnsi="Times New Roman" w:cs="Times New Roman"/>
          <w:b/>
          <w:sz w:val="28"/>
          <w:szCs w:val="24"/>
        </w:rPr>
      </w:pPr>
      <w:r>
        <w:rPr>
          <w:rFonts w:ascii="Times New Roman" w:hAnsi="Times New Roman" w:cs="Times New Roman"/>
          <w:b/>
          <w:sz w:val="28"/>
          <w:szCs w:val="24"/>
        </w:rPr>
        <w:t xml:space="preserve"> </w:t>
      </w:r>
      <w:r w:rsidR="0017635F" w:rsidRPr="0024196F">
        <w:rPr>
          <w:rFonts w:ascii="Times New Roman" w:hAnsi="Times New Roman" w:cs="Times New Roman"/>
          <w:b/>
          <w:sz w:val="28"/>
          <w:szCs w:val="24"/>
        </w:rPr>
        <w:t>Principi generali</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48. La Corte ribadisce che l’Articolo 3 della Convenzione racchiude e custodisce uno dei valori più importanti di una società democratica. Esso proibisce in termini assoluti la tortura o i trattamenti e le pene inumani o degradanti, indipendentemente dalle circostanze e dal comportamento della vittima (vedi, ad es. </w:t>
      </w:r>
      <w:proofErr w:type="spellStart"/>
      <w:r w:rsidRPr="00094990">
        <w:rPr>
          <w:rFonts w:ascii="Times New Roman" w:hAnsi="Times New Roman" w:cs="Times New Roman"/>
          <w:i/>
          <w:sz w:val="28"/>
          <w:szCs w:val="24"/>
        </w:rPr>
        <w:t>Labita</w:t>
      </w:r>
      <w:proofErr w:type="spellEnd"/>
      <w:r w:rsidRPr="00094990">
        <w:rPr>
          <w:rFonts w:ascii="Times New Roman" w:hAnsi="Times New Roman" w:cs="Times New Roman"/>
          <w:i/>
          <w:sz w:val="28"/>
          <w:szCs w:val="24"/>
        </w:rPr>
        <w:t xml:space="preserve"> c. Italia</w:t>
      </w:r>
      <w:r w:rsidRPr="0024196F">
        <w:rPr>
          <w:rFonts w:ascii="Times New Roman" w:hAnsi="Times New Roman" w:cs="Times New Roman"/>
          <w:sz w:val="28"/>
          <w:szCs w:val="24"/>
        </w:rPr>
        <w:t xml:space="preserve"> [G</w:t>
      </w:r>
      <w:r w:rsidR="00094990">
        <w:rPr>
          <w:rFonts w:ascii="Times New Roman" w:hAnsi="Times New Roman" w:cs="Times New Roman"/>
          <w:sz w:val="28"/>
          <w:szCs w:val="24"/>
        </w:rPr>
        <w:t xml:space="preserve">rande </w:t>
      </w:r>
      <w:r w:rsidRPr="0024196F">
        <w:rPr>
          <w:rFonts w:ascii="Times New Roman" w:hAnsi="Times New Roman" w:cs="Times New Roman"/>
          <w:sz w:val="28"/>
          <w:szCs w:val="24"/>
        </w:rPr>
        <w:t>C</w:t>
      </w:r>
      <w:r w:rsidR="00094990">
        <w:rPr>
          <w:rFonts w:ascii="Times New Roman" w:hAnsi="Times New Roman" w:cs="Times New Roman"/>
          <w:sz w:val="28"/>
          <w:szCs w:val="24"/>
        </w:rPr>
        <w:t>amera</w:t>
      </w:r>
      <w:r w:rsidRPr="0024196F">
        <w:rPr>
          <w:rFonts w:ascii="Times New Roman" w:hAnsi="Times New Roman" w:cs="Times New Roman"/>
          <w:sz w:val="28"/>
          <w:szCs w:val="24"/>
        </w:rPr>
        <w:t xml:space="preserve">] n. 26772/95, § 119, CEDU 2000-IV). Il maltrattamento deve raggiungere un livello minimo di gravità per ricadere nell’ambito dell’Articolo 3. La valutazione di questo minimo è relativa: dipende da tutte le circostanze del caso, quali la durata del trattamento, gli effetti fisici e mentali di questo e, in alcuni casi, il sesso, l’età e lo stato di salute della vittima (vedasi, fra le altre </w:t>
      </w:r>
      <w:r w:rsidR="00891AC9">
        <w:rPr>
          <w:rFonts w:ascii="Times New Roman" w:hAnsi="Times New Roman" w:cs="Times New Roman"/>
          <w:sz w:val="28"/>
          <w:szCs w:val="24"/>
        </w:rPr>
        <w:t>decisioni</w:t>
      </w:r>
      <w:r w:rsidRPr="0024196F">
        <w:rPr>
          <w:rFonts w:ascii="Times New Roman" w:hAnsi="Times New Roman" w:cs="Times New Roman"/>
          <w:sz w:val="28"/>
          <w:szCs w:val="24"/>
        </w:rPr>
        <w:t xml:space="preserve">, </w:t>
      </w:r>
      <w:r w:rsidRPr="00094990">
        <w:rPr>
          <w:rFonts w:ascii="Times New Roman" w:hAnsi="Times New Roman" w:cs="Times New Roman"/>
          <w:i/>
          <w:sz w:val="28"/>
          <w:szCs w:val="24"/>
        </w:rPr>
        <w:t>Irlanda c. Regno Unito</w:t>
      </w:r>
      <w:r w:rsidRPr="0024196F">
        <w:rPr>
          <w:rFonts w:ascii="Times New Roman" w:hAnsi="Times New Roman" w:cs="Times New Roman"/>
          <w:sz w:val="28"/>
          <w:szCs w:val="24"/>
        </w:rPr>
        <w:t xml:space="preserve">, 18 gennaio 1978, § 162, Serie A n. 25; e </w:t>
      </w:r>
      <w:proofErr w:type="spellStart"/>
      <w:r w:rsidRPr="00094990">
        <w:rPr>
          <w:rFonts w:ascii="Times New Roman" w:hAnsi="Times New Roman" w:cs="Times New Roman"/>
          <w:i/>
          <w:sz w:val="28"/>
          <w:szCs w:val="24"/>
        </w:rPr>
        <w:t>Orchowski</w:t>
      </w:r>
      <w:proofErr w:type="spellEnd"/>
      <w:r w:rsidRPr="00094990">
        <w:rPr>
          <w:rFonts w:ascii="Times New Roman" w:hAnsi="Times New Roman" w:cs="Times New Roman"/>
          <w:i/>
          <w:sz w:val="28"/>
          <w:szCs w:val="24"/>
        </w:rPr>
        <w:t xml:space="preserve"> c. Polonia</w:t>
      </w:r>
      <w:r w:rsidRPr="0024196F">
        <w:rPr>
          <w:rFonts w:ascii="Times New Roman" w:hAnsi="Times New Roman" w:cs="Times New Roman"/>
          <w:sz w:val="28"/>
          <w:szCs w:val="24"/>
        </w:rPr>
        <w:t>, n. 17885/04, § 119, 22 ottobre 2009).</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49. Il maltrattamento che raggiunge un tale minimo livello di gravità solitamente comporta reali lesioni corporali o un’intensa sofferenza fisica o mentale. Tuttavia, anche in assenza di queste ultime, laddove il trattamento umilia o svilisce un individuo, dimostrando una mancanza di rispetto per la sua dignità di persona o sminuendola, o fa insorgere sentimenti di paura, di angoscia o di inferiorità</w:t>
      </w:r>
      <w:r w:rsidR="00094990">
        <w:rPr>
          <w:rFonts w:ascii="Times New Roman" w:hAnsi="Times New Roman" w:cs="Times New Roman"/>
          <w:sz w:val="28"/>
          <w:szCs w:val="24"/>
        </w:rPr>
        <w:t xml:space="preserve"> </w:t>
      </w:r>
      <w:r w:rsidRPr="0024196F">
        <w:rPr>
          <w:rFonts w:ascii="Times New Roman" w:hAnsi="Times New Roman" w:cs="Times New Roman"/>
          <w:sz w:val="28"/>
          <w:szCs w:val="24"/>
        </w:rPr>
        <w:t xml:space="preserve">in grado di spezzare la resistenza morale e fisica di un individuo, esso può essere definito come degradante e può anche rientrare nella proibizione dell’Articolo 3 (v. </w:t>
      </w:r>
      <w:proofErr w:type="spellStart"/>
      <w:r w:rsidRPr="00094990">
        <w:rPr>
          <w:rFonts w:ascii="Times New Roman" w:hAnsi="Times New Roman" w:cs="Times New Roman"/>
          <w:i/>
          <w:sz w:val="28"/>
          <w:szCs w:val="24"/>
        </w:rPr>
        <w:t>Pretty</w:t>
      </w:r>
      <w:proofErr w:type="spellEnd"/>
      <w:r w:rsidRPr="00094990">
        <w:rPr>
          <w:rFonts w:ascii="Times New Roman" w:hAnsi="Times New Roman" w:cs="Times New Roman"/>
          <w:i/>
          <w:sz w:val="28"/>
          <w:szCs w:val="24"/>
        </w:rPr>
        <w:t xml:space="preserve"> c. Regno Unito</w:t>
      </w:r>
      <w:r w:rsidRPr="0024196F">
        <w:rPr>
          <w:rFonts w:ascii="Times New Roman" w:hAnsi="Times New Roman" w:cs="Times New Roman"/>
          <w:sz w:val="28"/>
          <w:szCs w:val="24"/>
        </w:rPr>
        <w:t>, n. 2346/02, § 52, CEDU 2002-III, con ulteriori riferimenti).</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50. Nel contesto della privazione della libertà la Corte ha coerentemente evidenziato che, per rientrare nell’ambito dell’Articolo 3, la sofferenza e l’umiliazione coinvolte devono in ogni caso andare oltre quell’inevitabile elemento di sofferenza ed umiliazione connesso alla detenzione. Lo Stato deve fare in modo che una persona sia detenuta in condizioni che siano compatibili col rispetto della dignità umana, che la maniera ed il metodo dell’esecuzione della misura non la sottoponga ad angoscia o privazione di un’intensità che eccede il livello inevitabile di sofferenza inerente alla detenzione e fare in modo che, date le esigenze pratiche della detenzione, la salute ed il benessere della persona siano adeguatamente garantiti (v. </w:t>
      </w:r>
      <w:proofErr w:type="spellStart"/>
      <w:r w:rsidRPr="0024196F">
        <w:rPr>
          <w:rFonts w:ascii="Times New Roman" w:hAnsi="Times New Roman" w:cs="Times New Roman"/>
          <w:i/>
          <w:sz w:val="28"/>
          <w:szCs w:val="24"/>
        </w:rPr>
        <w:t>Kudła</w:t>
      </w:r>
      <w:proofErr w:type="spellEnd"/>
      <w:r w:rsidRPr="0024196F">
        <w:rPr>
          <w:rFonts w:ascii="Times New Roman" w:hAnsi="Times New Roman" w:cs="Times New Roman"/>
          <w:i/>
          <w:sz w:val="28"/>
          <w:szCs w:val="24"/>
        </w:rPr>
        <w:t xml:space="preserve"> c. Polonia</w:t>
      </w:r>
      <w:r w:rsidRPr="0024196F">
        <w:rPr>
          <w:rFonts w:ascii="Times New Roman" w:hAnsi="Times New Roman" w:cs="Times New Roman"/>
          <w:sz w:val="28"/>
          <w:szCs w:val="24"/>
        </w:rPr>
        <w:t xml:space="preserve"> [GC], n. 30210/96, §§ 92-94, CEDU 2000-XI, e </w:t>
      </w:r>
      <w:r w:rsidRPr="0024196F">
        <w:rPr>
          <w:rFonts w:ascii="Times New Roman" w:hAnsi="Times New Roman" w:cs="Times New Roman"/>
          <w:i/>
          <w:sz w:val="28"/>
          <w:szCs w:val="24"/>
        </w:rPr>
        <w:t>Popov c. Russia</w:t>
      </w:r>
      <w:r w:rsidRPr="0024196F">
        <w:rPr>
          <w:rFonts w:ascii="Times New Roman" w:hAnsi="Times New Roman" w:cs="Times New Roman"/>
          <w:sz w:val="28"/>
          <w:szCs w:val="24"/>
        </w:rPr>
        <w:t>, n. 26853/04, § 208, 13 luglio 2006).</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51. Quando si valutano le condizioni detentive, si deve tenere conto degli effetti cumulativi di queste condizioni, nonché delle specifiche denunce [di presunte violazioni]</w:t>
      </w:r>
      <w:r w:rsidR="00891AC9">
        <w:rPr>
          <w:rFonts w:ascii="Times New Roman" w:hAnsi="Times New Roman" w:cs="Times New Roman"/>
          <w:sz w:val="28"/>
          <w:szCs w:val="24"/>
        </w:rPr>
        <w:t xml:space="preserve"> </w:t>
      </w:r>
      <w:r w:rsidRPr="0024196F">
        <w:rPr>
          <w:rFonts w:ascii="Times New Roman" w:hAnsi="Times New Roman" w:cs="Times New Roman"/>
          <w:sz w:val="28"/>
          <w:szCs w:val="24"/>
        </w:rPr>
        <w:t xml:space="preserve">presentate dal ricorrente (v. </w:t>
      </w:r>
      <w:proofErr w:type="spellStart"/>
      <w:r w:rsidRPr="00094990">
        <w:rPr>
          <w:rFonts w:ascii="Times New Roman" w:hAnsi="Times New Roman" w:cs="Times New Roman"/>
          <w:i/>
          <w:sz w:val="28"/>
          <w:szCs w:val="24"/>
        </w:rPr>
        <w:t>Dugoz</w:t>
      </w:r>
      <w:proofErr w:type="spellEnd"/>
      <w:r w:rsidRPr="00094990">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n. 40907/98, § 46, CEDU 2001-II; </w:t>
      </w:r>
      <w:proofErr w:type="spellStart"/>
      <w:r w:rsidRPr="00094990">
        <w:rPr>
          <w:rFonts w:ascii="Times New Roman" w:hAnsi="Times New Roman" w:cs="Times New Roman"/>
          <w:i/>
          <w:sz w:val="28"/>
          <w:szCs w:val="24"/>
        </w:rPr>
        <w:t>Idalov</w:t>
      </w:r>
      <w:proofErr w:type="spellEnd"/>
      <w:r w:rsidRPr="00094990">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[G</w:t>
      </w:r>
      <w:r w:rsidR="00094990">
        <w:rPr>
          <w:rFonts w:ascii="Times New Roman" w:hAnsi="Times New Roman" w:cs="Times New Roman"/>
          <w:sz w:val="28"/>
          <w:szCs w:val="24"/>
        </w:rPr>
        <w:t xml:space="preserve">rande </w:t>
      </w:r>
      <w:r w:rsidRPr="0024196F">
        <w:rPr>
          <w:rFonts w:ascii="Times New Roman" w:hAnsi="Times New Roman" w:cs="Times New Roman"/>
          <w:sz w:val="28"/>
          <w:szCs w:val="24"/>
        </w:rPr>
        <w:t>C</w:t>
      </w:r>
      <w:r w:rsidR="00094990">
        <w:rPr>
          <w:rFonts w:ascii="Times New Roman" w:hAnsi="Times New Roman" w:cs="Times New Roman"/>
          <w:sz w:val="28"/>
          <w:szCs w:val="24"/>
        </w:rPr>
        <w:t>amera</w:t>
      </w:r>
      <w:r w:rsidRPr="0024196F">
        <w:rPr>
          <w:rFonts w:ascii="Times New Roman" w:hAnsi="Times New Roman" w:cs="Times New Roman"/>
          <w:sz w:val="28"/>
          <w:szCs w:val="24"/>
        </w:rPr>
        <w:t xml:space="preserve">], n. 5826/03, § 94, 22 maggio 2012). Deve altresì considerarsi anche la durata temporale della detenzione nelle particolari condizioni (vedi, fra le altre </w:t>
      </w:r>
      <w:r w:rsidR="00891AC9">
        <w:rPr>
          <w:rFonts w:ascii="Times New Roman" w:hAnsi="Times New Roman" w:cs="Times New Roman"/>
          <w:sz w:val="28"/>
          <w:szCs w:val="24"/>
        </w:rPr>
        <w:t>decisioni</w:t>
      </w:r>
      <w:r w:rsidRPr="0024196F">
        <w:rPr>
          <w:rFonts w:ascii="Times New Roman" w:hAnsi="Times New Roman" w:cs="Times New Roman"/>
          <w:sz w:val="28"/>
          <w:szCs w:val="24"/>
        </w:rPr>
        <w:t xml:space="preserve">, </w:t>
      </w:r>
      <w:proofErr w:type="spellStart"/>
      <w:r w:rsidRPr="00094990">
        <w:rPr>
          <w:rFonts w:ascii="Times New Roman" w:hAnsi="Times New Roman" w:cs="Times New Roman"/>
          <w:i/>
          <w:sz w:val="28"/>
          <w:szCs w:val="24"/>
        </w:rPr>
        <w:t>Alver</w:t>
      </w:r>
      <w:proofErr w:type="spellEnd"/>
      <w:r w:rsidRPr="00094990">
        <w:rPr>
          <w:rFonts w:ascii="Times New Roman" w:hAnsi="Times New Roman" w:cs="Times New Roman"/>
          <w:i/>
          <w:sz w:val="28"/>
          <w:szCs w:val="24"/>
        </w:rPr>
        <w:t xml:space="preserve"> c. Estonia</w:t>
      </w:r>
      <w:r w:rsidRPr="0024196F">
        <w:rPr>
          <w:rFonts w:ascii="Times New Roman" w:hAnsi="Times New Roman" w:cs="Times New Roman"/>
          <w:sz w:val="28"/>
          <w:szCs w:val="24"/>
        </w:rPr>
        <w:t>, n. 64812/01, 8 novembre 2005).</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52. L’estrema mancanza di spazio in una cella di un carcere ha un grosso peso fra gli aspetti da prendere in considerazione allo scopo di stabilire se le condizioni detentive impugnate fossero “degradanti” dal punto di vista dell’Articolo 3 (v. </w:t>
      </w:r>
      <w:proofErr w:type="spellStart"/>
      <w:r w:rsidRPr="00891AC9">
        <w:rPr>
          <w:rFonts w:ascii="Times New Roman" w:hAnsi="Times New Roman" w:cs="Times New Roman"/>
          <w:i/>
          <w:sz w:val="28"/>
          <w:szCs w:val="24"/>
        </w:rPr>
        <w:t>Karalevičius</w:t>
      </w:r>
      <w:proofErr w:type="spellEnd"/>
      <w:r w:rsidRPr="00891AC9">
        <w:rPr>
          <w:rFonts w:ascii="Times New Roman" w:hAnsi="Times New Roman" w:cs="Times New Roman"/>
          <w:i/>
          <w:sz w:val="28"/>
          <w:szCs w:val="24"/>
        </w:rPr>
        <w:t xml:space="preserve"> c. Lituania</w:t>
      </w:r>
      <w:r w:rsidRPr="0024196F">
        <w:rPr>
          <w:rFonts w:ascii="Times New Roman" w:hAnsi="Times New Roman" w:cs="Times New Roman"/>
          <w:sz w:val="28"/>
          <w:szCs w:val="24"/>
        </w:rPr>
        <w:t xml:space="preserve">, n. 53254/99, § 36, 7 aprile 2005). Tuttavia, la Corte ha sempre rifiutato di determinare, una volta per tutte, quanti metri quadrati devono essere assegnati ad un detenuto ai sensi della Convenzione, avendo ritenuto che numerosi altri fattori, quali la durata della detenzione, le possibilità di attività all’aperto, le condizioni fisiche e mentali del detenuto e così via, hanno un ruolo importante nel decidere se le condizioni di detenzione rispettano o meno le garanzie dell’Articolo 3 della Convenzione (v., ad esempio, </w:t>
      </w:r>
      <w:proofErr w:type="spellStart"/>
      <w:r w:rsidRPr="00891AC9">
        <w:rPr>
          <w:rFonts w:ascii="Times New Roman" w:hAnsi="Times New Roman" w:cs="Times New Roman"/>
          <w:i/>
          <w:sz w:val="28"/>
          <w:szCs w:val="24"/>
        </w:rPr>
        <w:t>Trepashkin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36898/03, § 92, 19 luglio 2007; </w:t>
      </w:r>
      <w:proofErr w:type="spellStart"/>
      <w:r w:rsidRPr="00891AC9">
        <w:rPr>
          <w:rFonts w:ascii="Times New Roman" w:hAnsi="Times New Roman" w:cs="Times New Roman"/>
          <w:i/>
          <w:sz w:val="28"/>
          <w:szCs w:val="24"/>
        </w:rPr>
        <w:t>Sergey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Babushkin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5993/08, § 50, 28 novembre 2013; </w:t>
      </w:r>
      <w:proofErr w:type="spellStart"/>
      <w:r w:rsidRPr="00891AC9">
        <w:rPr>
          <w:rFonts w:ascii="Times New Roman" w:hAnsi="Times New Roman" w:cs="Times New Roman"/>
          <w:i/>
          <w:sz w:val="28"/>
          <w:szCs w:val="24"/>
        </w:rPr>
        <w:t>Semikhvostov</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2689/12, § 79, 6 febbraio 2014; </w:t>
      </w:r>
      <w:proofErr w:type="spellStart"/>
      <w:r w:rsidRPr="00891AC9">
        <w:rPr>
          <w:rFonts w:ascii="Times New Roman" w:hAnsi="Times New Roman" w:cs="Times New Roman"/>
          <w:i/>
          <w:sz w:val="28"/>
          <w:szCs w:val="24"/>
        </w:rPr>
        <w:t>Logothetis</w:t>
      </w:r>
      <w:proofErr w:type="spellEnd"/>
      <w:r w:rsidRPr="00891AC9">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xml:space="preserve">, n. 740/13, § 40, 25 settembre 2014; e </w:t>
      </w:r>
      <w:proofErr w:type="spellStart"/>
      <w:r w:rsidRPr="00891AC9">
        <w:rPr>
          <w:rFonts w:ascii="Times New Roman" w:hAnsi="Times New Roman" w:cs="Times New Roman"/>
          <w:i/>
          <w:sz w:val="28"/>
          <w:szCs w:val="24"/>
        </w:rPr>
        <w:t>Suldin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20077/04, § 43, 16 ottobre 2014). </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53. Nel caso </w:t>
      </w:r>
      <w:proofErr w:type="spellStart"/>
      <w:r w:rsidRPr="0024196F">
        <w:rPr>
          <w:rFonts w:ascii="Times New Roman" w:hAnsi="Times New Roman" w:cs="Times New Roman"/>
          <w:sz w:val="28"/>
          <w:szCs w:val="24"/>
        </w:rPr>
        <w:t>Ananyev</w:t>
      </w:r>
      <w:proofErr w:type="spellEnd"/>
      <w:r w:rsidRPr="0024196F">
        <w:rPr>
          <w:rFonts w:ascii="Times New Roman" w:hAnsi="Times New Roman" w:cs="Times New Roman"/>
          <w:sz w:val="28"/>
          <w:szCs w:val="24"/>
        </w:rPr>
        <w:t xml:space="preserve"> la Corte ha stabilito i relativi standard per decidere se via sia stata o meno violazione dell’Articolo 3 in considerazione della mancanza di spazio personale. In particolare, la Corte deve considerare i tre elementi seguenti: (a) ogni detenuto deve avere un posto individuale per dormire nella cella; (b) ognuno deve disporre di almeno 3 metri quadri di superficie; e (c) la superficie totale della cella deve essere tale da permettere ai detenuti di muoversi liberamente fra gli elementi di arredo. L’assenza di uno fra i suddetti elementi crea di per sé una forte presunzione che le condizioni detentive risultino in un trattamento degradante e costituiscano un’infrazione all’Articolo 3 (v. </w:t>
      </w:r>
      <w:proofErr w:type="spellStart"/>
      <w:r w:rsidRPr="00891AC9">
        <w:rPr>
          <w:rFonts w:ascii="Times New Roman" w:hAnsi="Times New Roman" w:cs="Times New Roman"/>
          <w:i/>
          <w:sz w:val="28"/>
          <w:szCs w:val="24"/>
        </w:rPr>
        <w:t>Ananyev</w:t>
      </w:r>
      <w:proofErr w:type="spellEnd"/>
      <w:r w:rsidRPr="00891AC9">
        <w:rPr>
          <w:rFonts w:ascii="Times New Roman" w:hAnsi="Times New Roman" w:cs="Times New Roman"/>
          <w:i/>
          <w:sz w:val="28"/>
          <w:szCs w:val="24"/>
        </w:rPr>
        <w:t xml:space="preserve"> ed altri c. Russia</w:t>
      </w:r>
      <w:r w:rsidRPr="0024196F">
        <w:rPr>
          <w:rFonts w:ascii="Times New Roman" w:hAnsi="Times New Roman" w:cs="Times New Roman"/>
          <w:sz w:val="28"/>
          <w:szCs w:val="24"/>
        </w:rPr>
        <w:t xml:space="preserve">, </w:t>
      </w:r>
      <w:proofErr w:type="spellStart"/>
      <w:r w:rsidRPr="0024196F">
        <w:rPr>
          <w:rFonts w:ascii="Times New Roman" w:hAnsi="Times New Roman" w:cs="Times New Roman"/>
          <w:sz w:val="28"/>
          <w:szCs w:val="24"/>
        </w:rPr>
        <w:t>nn</w:t>
      </w:r>
      <w:proofErr w:type="spellEnd"/>
      <w:r w:rsidRPr="0024196F">
        <w:rPr>
          <w:rFonts w:ascii="Times New Roman" w:hAnsi="Times New Roman" w:cs="Times New Roman"/>
          <w:sz w:val="28"/>
          <w:szCs w:val="24"/>
        </w:rPr>
        <w:t xml:space="preserve">. 42525/07 e 60800/08, § 148, 10 gennaio 2012; v. inoltre </w:t>
      </w:r>
      <w:proofErr w:type="spellStart"/>
      <w:r w:rsidRPr="00891AC9">
        <w:rPr>
          <w:rFonts w:ascii="Times New Roman" w:hAnsi="Times New Roman" w:cs="Times New Roman"/>
          <w:i/>
          <w:sz w:val="28"/>
          <w:szCs w:val="24"/>
        </w:rPr>
        <w:t>Olszewski</w:t>
      </w:r>
      <w:proofErr w:type="spellEnd"/>
      <w:r w:rsidRPr="00891AC9">
        <w:rPr>
          <w:rFonts w:ascii="Times New Roman" w:hAnsi="Times New Roman" w:cs="Times New Roman"/>
          <w:i/>
          <w:sz w:val="28"/>
          <w:szCs w:val="24"/>
        </w:rPr>
        <w:t xml:space="preserve"> c. Polonia</w:t>
      </w:r>
      <w:r w:rsidRPr="0024196F">
        <w:rPr>
          <w:rFonts w:ascii="Times New Roman" w:hAnsi="Times New Roman" w:cs="Times New Roman"/>
          <w:sz w:val="28"/>
          <w:szCs w:val="24"/>
        </w:rPr>
        <w:t>, n. 21880/03, § 98, 2 aprile 2013).</w:t>
      </w:r>
    </w:p>
    <w:p w:rsidR="0017635F" w:rsidRPr="0024196F" w:rsidRDefault="0017635F" w:rsidP="0024196F">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54. Così, sulla base di tale presupposto, la Corte ha ritenuto in numerosi casi che laddove i ricorrenti hanno a loro disposizione meno di tre metri quadri di superficie, il sovraffollamento deve essere considerato tanto grave da giustificare da sé il riscontro di una violazione dell’Articolo 3 della Convenzione (vedi, ad es. </w:t>
      </w:r>
      <w:proofErr w:type="spellStart"/>
      <w:r w:rsidRPr="00891AC9">
        <w:rPr>
          <w:rFonts w:ascii="Times New Roman" w:hAnsi="Times New Roman" w:cs="Times New Roman"/>
          <w:i/>
          <w:sz w:val="28"/>
          <w:szCs w:val="24"/>
        </w:rPr>
        <w:t>Dmitriy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Sazonov</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30268/03, §§ 31-32, 1 marzo 2012; </w:t>
      </w:r>
      <w:proofErr w:type="spellStart"/>
      <w:r w:rsidRPr="00891AC9">
        <w:rPr>
          <w:rFonts w:ascii="Times New Roman" w:hAnsi="Times New Roman" w:cs="Times New Roman"/>
          <w:i/>
          <w:sz w:val="28"/>
          <w:szCs w:val="24"/>
        </w:rPr>
        <w:t>Nieciecki</w:t>
      </w:r>
      <w:proofErr w:type="spellEnd"/>
      <w:r w:rsidRPr="00891AC9">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n. 11677/11, §§ 49-51, 4 dicembre 2012; </w:t>
      </w:r>
      <w:proofErr w:type="spellStart"/>
      <w:r w:rsidRPr="00891AC9">
        <w:rPr>
          <w:rFonts w:ascii="Times New Roman" w:hAnsi="Times New Roman" w:cs="Times New Roman"/>
          <w:i/>
          <w:sz w:val="28"/>
          <w:szCs w:val="24"/>
        </w:rPr>
        <w:t>Torreggiani</w:t>
      </w:r>
      <w:proofErr w:type="spellEnd"/>
      <w:r w:rsidRPr="00891AC9">
        <w:rPr>
          <w:rFonts w:ascii="Times New Roman" w:hAnsi="Times New Roman" w:cs="Times New Roman"/>
          <w:i/>
          <w:sz w:val="28"/>
          <w:szCs w:val="24"/>
        </w:rPr>
        <w:t xml:space="preserve"> ed </w:t>
      </w:r>
      <w:r w:rsidR="00891AC9">
        <w:rPr>
          <w:rFonts w:ascii="Times New Roman" w:hAnsi="Times New Roman" w:cs="Times New Roman"/>
          <w:i/>
          <w:sz w:val="28"/>
          <w:szCs w:val="24"/>
        </w:rPr>
        <w:t>A</w:t>
      </w:r>
      <w:r w:rsidRPr="00891AC9">
        <w:rPr>
          <w:rFonts w:ascii="Times New Roman" w:hAnsi="Times New Roman" w:cs="Times New Roman"/>
          <w:i/>
          <w:sz w:val="28"/>
          <w:szCs w:val="24"/>
        </w:rPr>
        <w:t>ltri c. Italia</w:t>
      </w:r>
      <w:r w:rsidRPr="0024196F">
        <w:rPr>
          <w:rFonts w:ascii="Times New Roman" w:hAnsi="Times New Roman" w:cs="Times New Roman"/>
          <w:sz w:val="28"/>
          <w:szCs w:val="24"/>
        </w:rPr>
        <w:t xml:space="preserve">, </w:t>
      </w:r>
      <w:proofErr w:type="spellStart"/>
      <w:r w:rsidRPr="0024196F">
        <w:rPr>
          <w:rFonts w:ascii="Times New Roman" w:hAnsi="Times New Roman" w:cs="Times New Roman"/>
          <w:sz w:val="28"/>
          <w:szCs w:val="24"/>
        </w:rPr>
        <w:t>nn</w:t>
      </w:r>
      <w:proofErr w:type="spellEnd"/>
      <w:r w:rsidRPr="0024196F">
        <w:rPr>
          <w:rFonts w:ascii="Times New Roman" w:hAnsi="Times New Roman" w:cs="Times New Roman"/>
          <w:sz w:val="28"/>
          <w:szCs w:val="24"/>
        </w:rPr>
        <w:t xml:space="preserve">. 43517/09, 46882/09, 55400/09, 57875/09, 61535/09, 35315/10 e 37818/10, § 77, 8 gennaio 2013; </w:t>
      </w:r>
      <w:r w:rsidRPr="00891AC9">
        <w:rPr>
          <w:rFonts w:ascii="Times New Roman" w:hAnsi="Times New Roman" w:cs="Times New Roman"/>
          <w:i/>
          <w:sz w:val="28"/>
          <w:szCs w:val="24"/>
        </w:rPr>
        <w:t>Kanakis c. Grecia (n. 2)</w:t>
      </w:r>
      <w:r w:rsidRPr="0024196F">
        <w:rPr>
          <w:rFonts w:ascii="Times New Roman" w:hAnsi="Times New Roman" w:cs="Times New Roman"/>
          <w:sz w:val="28"/>
          <w:szCs w:val="24"/>
        </w:rPr>
        <w:t xml:space="preserve">, n. 40146/11, §§ 106-107, 12 dicembre 2013; </w:t>
      </w:r>
      <w:proofErr w:type="spellStart"/>
      <w:r w:rsidRPr="00891AC9">
        <w:rPr>
          <w:rFonts w:ascii="Times New Roman" w:hAnsi="Times New Roman" w:cs="Times New Roman"/>
          <w:i/>
          <w:sz w:val="28"/>
          <w:szCs w:val="24"/>
        </w:rPr>
        <w:t>Tatishvili</w:t>
      </w:r>
      <w:proofErr w:type="spellEnd"/>
      <w:r w:rsidRPr="00891AC9">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n. 26452/11, § 43, 31 luglio 2014; </w:t>
      </w:r>
      <w:proofErr w:type="spellStart"/>
      <w:r w:rsidRPr="00891AC9">
        <w:rPr>
          <w:rFonts w:ascii="Times New Roman" w:hAnsi="Times New Roman" w:cs="Times New Roman"/>
          <w:i/>
          <w:sz w:val="28"/>
          <w:szCs w:val="24"/>
        </w:rPr>
        <w:t>Tereshchenko</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33761/05, §§ 83-84, 5 giugno 2014; </w:t>
      </w:r>
      <w:proofErr w:type="spellStart"/>
      <w:r w:rsidRPr="00891AC9">
        <w:rPr>
          <w:rFonts w:ascii="Times New Roman" w:hAnsi="Times New Roman" w:cs="Times New Roman"/>
          <w:i/>
          <w:sz w:val="28"/>
          <w:szCs w:val="24"/>
        </w:rPr>
        <w:t>Bulatović</w:t>
      </w:r>
      <w:proofErr w:type="spellEnd"/>
      <w:r w:rsidRPr="00891AC9">
        <w:rPr>
          <w:rFonts w:ascii="Times New Roman" w:hAnsi="Times New Roman" w:cs="Times New Roman"/>
          <w:i/>
          <w:sz w:val="28"/>
          <w:szCs w:val="24"/>
        </w:rPr>
        <w:t xml:space="preserve"> c. Montenegro</w:t>
      </w:r>
      <w:r w:rsidRPr="0024196F">
        <w:rPr>
          <w:rFonts w:ascii="Times New Roman" w:hAnsi="Times New Roman" w:cs="Times New Roman"/>
          <w:sz w:val="28"/>
          <w:szCs w:val="24"/>
        </w:rPr>
        <w:t xml:space="preserve">, n. 67320/10, §§ 123-127, 22 luglio 2014; e </w:t>
      </w:r>
      <w:r w:rsidRPr="00891AC9">
        <w:rPr>
          <w:rFonts w:ascii="Times New Roman" w:hAnsi="Times New Roman" w:cs="Times New Roman"/>
          <w:i/>
          <w:sz w:val="28"/>
          <w:szCs w:val="24"/>
        </w:rPr>
        <w:t>T. ed A. c. Turchia</w:t>
      </w:r>
      <w:r w:rsidRPr="0024196F">
        <w:rPr>
          <w:rFonts w:ascii="Times New Roman" w:hAnsi="Times New Roman" w:cs="Times New Roman"/>
          <w:sz w:val="28"/>
          <w:szCs w:val="24"/>
        </w:rPr>
        <w:t>, n. 47146/11, § 96, 21 ottobre 2014).</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55. Tuttavia, nel valutare in particolare le condizioni detentive in strutture per condannati, la Corte ha sempre tenuto conto dell’effetto cumulativo delle condizioni di detenzione (v., ad esempio, </w:t>
      </w:r>
      <w:proofErr w:type="spellStart"/>
      <w:r w:rsidRPr="00891AC9">
        <w:rPr>
          <w:rFonts w:ascii="Times New Roman" w:hAnsi="Times New Roman" w:cs="Times New Roman"/>
          <w:i/>
          <w:sz w:val="28"/>
          <w:szCs w:val="24"/>
        </w:rPr>
        <w:t>Dmitriy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Rozhin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4265/06, § 53, 23 ottobre 2012; </w:t>
      </w:r>
      <w:proofErr w:type="spellStart"/>
      <w:r w:rsidRPr="00891AC9">
        <w:rPr>
          <w:rFonts w:ascii="Times New Roman" w:hAnsi="Times New Roman" w:cs="Times New Roman"/>
          <w:i/>
          <w:sz w:val="28"/>
          <w:szCs w:val="24"/>
        </w:rPr>
        <w:t>Kulikov</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48562/06, § 37, 27 novembre 2012; </w:t>
      </w:r>
      <w:proofErr w:type="spellStart"/>
      <w:r w:rsidRPr="00891AC9">
        <w:rPr>
          <w:rFonts w:ascii="Times New Roman" w:hAnsi="Times New Roman" w:cs="Times New Roman"/>
          <w:i/>
          <w:sz w:val="28"/>
          <w:szCs w:val="24"/>
        </w:rPr>
        <w:t>Yepishin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591/07, § 65, 27 giugno 2013; </w:t>
      </w:r>
      <w:proofErr w:type="spellStart"/>
      <w:r w:rsidRPr="00891AC9">
        <w:rPr>
          <w:rFonts w:ascii="Times New Roman" w:hAnsi="Times New Roman" w:cs="Times New Roman"/>
          <w:i/>
          <w:sz w:val="28"/>
          <w:szCs w:val="24"/>
        </w:rPr>
        <w:t>Sergey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Babushkin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cit., §§ 52-58). Di conseguenza, la questione dello spazio personale deve essere considerata nel contesto del regime applicabile, che permette ai detenuti di beneficiare di una più ampia libertà di movimento durante la giornata rispetto a coloro che sono sottoposti ad altri tipi di regime detentivo, e della loro conseguente possibilità di avere libero accesso alla luce naturale ed all’aria. Così, la Corte ha già stabilito che la libertà di movimento concessa ai detenuti in una struttura e il libero accesso alla luce naturale ed all’aria hanno costituito una compensazione sufficiente alla scarsa assegnazione di spazio per condannato (v. ad esempio, </w:t>
      </w:r>
      <w:proofErr w:type="spellStart"/>
      <w:r w:rsidRPr="00891AC9">
        <w:rPr>
          <w:rFonts w:ascii="Times New Roman" w:hAnsi="Times New Roman" w:cs="Times New Roman"/>
          <w:i/>
          <w:sz w:val="28"/>
          <w:szCs w:val="24"/>
        </w:rPr>
        <w:t>Shkurenko</w:t>
      </w:r>
      <w:proofErr w:type="spellEnd"/>
      <w:r w:rsidRPr="00891AC9">
        <w:rPr>
          <w:rFonts w:ascii="Times New Roman" w:hAnsi="Times New Roman" w:cs="Times New Roman"/>
          <w:i/>
          <w:sz w:val="28"/>
          <w:szCs w:val="24"/>
        </w:rPr>
        <w:t xml:space="preserve"> c. Russia (dec</w:t>
      </w:r>
      <w:r w:rsidR="00891AC9">
        <w:rPr>
          <w:rFonts w:ascii="Times New Roman" w:hAnsi="Times New Roman" w:cs="Times New Roman"/>
          <w:i/>
          <w:sz w:val="28"/>
          <w:szCs w:val="24"/>
        </w:rPr>
        <w:t>isione</w:t>
      </w:r>
      <w:r w:rsidRPr="00891AC9">
        <w:rPr>
          <w:rFonts w:ascii="Times New Roman" w:hAnsi="Times New Roman" w:cs="Times New Roman"/>
          <w:i/>
          <w:sz w:val="28"/>
          <w:szCs w:val="24"/>
        </w:rPr>
        <w:t>)</w:t>
      </w:r>
      <w:r w:rsidRPr="0024196F">
        <w:rPr>
          <w:rFonts w:ascii="Times New Roman" w:hAnsi="Times New Roman" w:cs="Times New Roman"/>
          <w:sz w:val="28"/>
          <w:szCs w:val="24"/>
        </w:rPr>
        <w:t xml:space="preserve">, n. 15010/04, 10 settembre 2009; </w:t>
      </w:r>
      <w:proofErr w:type="spellStart"/>
      <w:r w:rsidRPr="00891AC9">
        <w:rPr>
          <w:rFonts w:ascii="Times New Roman" w:hAnsi="Times New Roman" w:cs="Times New Roman"/>
          <w:i/>
          <w:sz w:val="28"/>
          <w:szCs w:val="24"/>
        </w:rPr>
        <w:t>Norbert</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Sikorski</w:t>
      </w:r>
      <w:proofErr w:type="spellEnd"/>
      <w:r w:rsidRPr="00891AC9">
        <w:rPr>
          <w:rFonts w:ascii="Times New Roman" w:hAnsi="Times New Roman" w:cs="Times New Roman"/>
          <w:i/>
          <w:sz w:val="28"/>
          <w:szCs w:val="24"/>
        </w:rPr>
        <w:t xml:space="preserve"> c. Polonia</w:t>
      </w:r>
      <w:r w:rsidRPr="0024196F">
        <w:rPr>
          <w:rFonts w:ascii="Times New Roman" w:hAnsi="Times New Roman" w:cs="Times New Roman"/>
          <w:sz w:val="28"/>
          <w:szCs w:val="24"/>
        </w:rPr>
        <w:t xml:space="preserve">, n. 17599/05, § 129, 22 ottobre 2009;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9967/06, §§ 32-36, 17 ottobre 2013; e </w:t>
      </w:r>
      <w:proofErr w:type="spellStart"/>
      <w:r w:rsidRPr="00891AC9">
        <w:rPr>
          <w:rFonts w:ascii="Times New Roman" w:hAnsi="Times New Roman" w:cs="Times New Roman"/>
          <w:i/>
          <w:sz w:val="28"/>
          <w:szCs w:val="24"/>
        </w:rPr>
        <w:t>Semikhvostov</w:t>
      </w:r>
      <w:proofErr w:type="spellEnd"/>
      <w:r w:rsidRPr="0024196F">
        <w:rPr>
          <w:rFonts w:ascii="Times New Roman" w:hAnsi="Times New Roman" w:cs="Times New Roman"/>
          <w:sz w:val="28"/>
          <w:szCs w:val="24"/>
        </w:rPr>
        <w:t xml:space="preserve">, cit., § 79).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56. Ne consegue che una forte presunzione che le condizioni di detenzione configurino un trattamento degradante infrangendo l’Articolo 3 in considerazione della mancanza di spazio personale, stabilita nel caso </w:t>
      </w:r>
      <w:proofErr w:type="spellStart"/>
      <w:r w:rsidRPr="00891AC9">
        <w:rPr>
          <w:rFonts w:ascii="Times New Roman" w:hAnsi="Times New Roman" w:cs="Times New Roman"/>
          <w:i/>
          <w:sz w:val="28"/>
          <w:szCs w:val="24"/>
        </w:rPr>
        <w:t>Ananyev</w:t>
      </w:r>
      <w:proofErr w:type="spellEnd"/>
      <w:r w:rsidRPr="0024196F">
        <w:rPr>
          <w:rFonts w:ascii="Times New Roman" w:hAnsi="Times New Roman" w:cs="Times New Roman"/>
          <w:sz w:val="28"/>
          <w:szCs w:val="24"/>
        </w:rPr>
        <w:t xml:space="preserve"> (v. paragrafo 54), può, in determinate circostanze, essere confutata dall’effetto cumulativo delle condizioni detentive (v., ad esempio, </w:t>
      </w:r>
      <w:proofErr w:type="spellStart"/>
      <w:r w:rsidRPr="00891AC9">
        <w:rPr>
          <w:rFonts w:ascii="Times New Roman" w:hAnsi="Times New Roman" w:cs="Times New Roman"/>
          <w:i/>
          <w:sz w:val="28"/>
          <w:szCs w:val="24"/>
        </w:rPr>
        <w:t>Fetisov</w:t>
      </w:r>
      <w:proofErr w:type="spellEnd"/>
      <w:r w:rsidRPr="00891AC9">
        <w:rPr>
          <w:rFonts w:ascii="Times New Roman" w:hAnsi="Times New Roman" w:cs="Times New Roman"/>
          <w:i/>
          <w:sz w:val="28"/>
          <w:szCs w:val="24"/>
        </w:rPr>
        <w:t xml:space="preserve"> ed altri c. Russia</w:t>
      </w:r>
      <w:r w:rsidRPr="0024196F">
        <w:rPr>
          <w:rFonts w:ascii="Times New Roman" w:hAnsi="Times New Roman" w:cs="Times New Roman"/>
          <w:sz w:val="28"/>
          <w:szCs w:val="24"/>
        </w:rPr>
        <w:t xml:space="preserve">, </w:t>
      </w:r>
      <w:proofErr w:type="spellStart"/>
      <w:r w:rsidRPr="0024196F">
        <w:rPr>
          <w:rFonts w:ascii="Times New Roman" w:hAnsi="Times New Roman" w:cs="Times New Roman"/>
          <w:sz w:val="28"/>
          <w:szCs w:val="24"/>
        </w:rPr>
        <w:t>nn</w:t>
      </w:r>
      <w:proofErr w:type="spellEnd"/>
      <w:r w:rsidRPr="0024196F">
        <w:rPr>
          <w:rFonts w:ascii="Times New Roman" w:hAnsi="Times New Roman" w:cs="Times New Roman"/>
          <w:sz w:val="28"/>
          <w:szCs w:val="24"/>
        </w:rPr>
        <w:t xml:space="preserve">. 43710/07, 6023/08, 11248/08, 27668/08, 31242/08 e 52133/08, §§ 134-138, 17 gennaio 2012; </w:t>
      </w:r>
      <w:proofErr w:type="spellStart"/>
      <w:r w:rsidRPr="00891AC9">
        <w:rPr>
          <w:rFonts w:ascii="Times New Roman" w:hAnsi="Times New Roman" w:cs="Times New Roman"/>
          <w:i/>
          <w:sz w:val="28"/>
          <w:szCs w:val="24"/>
        </w:rPr>
        <w:t>Dmitriy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Rozhin</w:t>
      </w:r>
      <w:proofErr w:type="spellEnd"/>
      <w:r w:rsidRPr="0024196F">
        <w:rPr>
          <w:rFonts w:ascii="Times New Roman" w:hAnsi="Times New Roman" w:cs="Times New Roman"/>
          <w:sz w:val="28"/>
          <w:szCs w:val="24"/>
        </w:rPr>
        <w:t xml:space="preserve">, cit., §§ 53-53 [sic]; e </w:t>
      </w:r>
      <w:proofErr w:type="spellStart"/>
      <w:r w:rsidRPr="00891AC9">
        <w:rPr>
          <w:rFonts w:ascii="Times New Roman" w:hAnsi="Times New Roman" w:cs="Times New Roman"/>
          <w:i/>
          <w:sz w:val="28"/>
          <w:szCs w:val="24"/>
        </w:rPr>
        <w:t>Sergey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Babushkin</w:t>
      </w:r>
      <w:proofErr w:type="spellEnd"/>
      <w:r w:rsidRPr="0024196F">
        <w:rPr>
          <w:rFonts w:ascii="Times New Roman" w:hAnsi="Times New Roman" w:cs="Times New Roman"/>
          <w:sz w:val="28"/>
          <w:szCs w:val="24"/>
        </w:rPr>
        <w:t xml:space="preserve">, cit., § 57). Ciò difficilmente accadrà, tuttavia, nel contesto di una evidente mancanza di spazio personale (v., ad esempio, </w:t>
      </w:r>
      <w:proofErr w:type="spellStart"/>
      <w:r w:rsidRPr="00891AC9">
        <w:rPr>
          <w:rFonts w:ascii="Times New Roman" w:hAnsi="Times New Roman" w:cs="Times New Roman"/>
          <w:i/>
          <w:sz w:val="28"/>
          <w:szCs w:val="24"/>
        </w:rPr>
        <w:t>Dmitriy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Sazonov</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cit., §§ 31-32; </w:t>
      </w:r>
      <w:proofErr w:type="spellStart"/>
      <w:r w:rsidRPr="00891AC9">
        <w:rPr>
          <w:rFonts w:ascii="Times New Roman" w:hAnsi="Times New Roman" w:cs="Times New Roman"/>
          <w:i/>
          <w:sz w:val="28"/>
          <w:szCs w:val="24"/>
        </w:rPr>
        <w:t>Logothetis</w:t>
      </w:r>
      <w:proofErr w:type="spellEnd"/>
      <w:r w:rsidRPr="00891AC9">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xml:space="preserve">, n. 740/13, § 41, 25 settembre 2014; e </w:t>
      </w:r>
      <w:proofErr w:type="spellStart"/>
      <w:r w:rsidRPr="00891AC9">
        <w:rPr>
          <w:rFonts w:ascii="Times New Roman" w:hAnsi="Times New Roman" w:cs="Times New Roman"/>
          <w:i/>
          <w:sz w:val="28"/>
          <w:szCs w:val="24"/>
        </w:rPr>
        <w:t>Nikolaos</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Athanasiou</w:t>
      </w:r>
      <w:proofErr w:type="spellEnd"/>
      <w:r w:rsidRPr="00891AC9">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n. 36546/10, § 77, 23 ottobre 2014), dell’assegnazione ad una struttura detentiva del tutto inadeguata</w:t>
      </w:r>
      <w:r w:rsidR="00891AC9">
        <w:rPr>
          <w:rFonts w:ascii="Times New Roman" w:hAnsi="Times New Roman" w:cs="Times New Roman"/>
          <w:sz w:val="28"/>
          <w:szCs w:val="24"/>
        </w:rPr>
        <w:t xml:space="preserve"> </w:t>
      </w:r>
      <w:r w:rsidRPr="0024196F">
        <w:rPr>
          <w:rFonts w:ascii="Times New Roman" w:hAnsi="Times New Roman" w:cs="Times New Roman"/>
          <w:sz w:val="28"/>
          <w:szCs w:val="24"/>
        </w:rPr>
        <w:t xml:space="preserve">(v., ad esempio, </w:t>
      </w:r>
      <w:r w:rsidRPr="00891AC9">
        <w:rPr>
          <w:rFonts w:ascii="Times New Roman" w:hAnsi="Times New Roman" w:cs="Times New Roman"/>
          <w:i/>
          <w:sz w:val="28"/>
          <w:szCs w:val="24"/>
        </w:rPr>
        <w:t>A. F. c. Grecia</w:t>
      </w:r>
      <w:r w:rsidRPr="0024196F">
        <w:rPr>
          <w:rFonts w:ascii="Times New Roman" w:hAnsi="Times New Roman" w:cs="Times New Roman"/>
          <w:sz w:val="28"/>
          <w:szCs w:val="24"/>
        </w:rPr>
        <w:t xml:space="preserve">, n. 53709/11, §§ 71-80, 13 giugno 2013; </w:t>
      </w:r>
      <w:proofErr w:type="spellStart"/>
      <w:r w:rsidRPr="00891AC9">
        <w:rPr>
          <w:rFonts w:ascii="Times New Roman" w:hAnsi="Times New Roman" w:cs="Times New Roman"/>
          <w:i/>
          <w:sz w:val="28"/>
          <w:szCs w:val="24"/>
        </w:rPr>
        <w:t>Horshill</w:t>
      </w:r>
      <w:proofErr w:type="spellEnd"/>
      <w:r w:rsidRPr="00891AC9">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n. 70427/11, §§ 47-52, 1 agosto 2013; e T. ed A., cit., § 96) o nel caso di accertati problemi strutturali nelle carceri (v., ad esempio, </w:t>
      </w:r>
      <w:proofErr w:type="spellStart"/>
      <w:r w:rsidRPr="00891AC9">
        <w:rPr>
          <w:rFonts w:ascii="Times New Roman" w:hAnsi="Times New Roman" w:cs="Times New Roman"/>
          <w:i/>
          <w:sz w:val="28"/>
          <w:szCs w:val="24"/>
        </w:rPr>
        <w:t>Khuroshvili</w:t>
      </w:r>
      <w:proofErr w:type="spellEnd"/>
      <w:r w:rsidRPr="00891AC9">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n. 58165/10, §§ 84-89, 12 dicembre 2013; </w:t>
      </w:r>
      <w:proofErr w:type="spellStart"/>
      <w:r w:rsidRPr="00891AC9">
        <w:rPr>
          <w:rFonts w:ascii="Times New Roman" w:hAnsi="Times New Roman" w:cs="Times New Roman"/>
          <w:i/>
          <w:sz w:val="28"/>
          <w:szCs w:val="24"/>
        </w:rPr>
        <w:t>Gorbulya</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31535/09, §§64-65, 6 marzo 2014; e </w:t>
      </w:r>
      <w:proofErr w:type="spellStart"/>
      <w:r w:rsidRPr="00891AC9">
        <w:rPr>
          <w:rFonts w:ascii="Times New Roman" w:hAnsi="Times New Roman" w:cs="Times New Roman"/>
          <w:i/>
          <w:sz w:val="28"/>
          <w:szCs w:val="24"/>
        </w:rPr>
        <w:t>Ślusarczyk</w:t>
      </w:r>
      <w:proofErr w:type="spellEnd"/>
      <w:r w:rsidRPr="00891AC9">
        <w:rPr>
          <w:rFonts w:ascii="Times New Roman" w:hAnsi="Times New Roman" w:cs="Times New Roman"/>
          <w:i/>
          <w:sz w:val="28"/>
          <w:szCs w:val="24"/>
        </w:rPr>
        <w:t xml:space="preserve"> c. Polonia</w:t>
      </w:r>
      <w:r w:rsidRPr="0024196F">
        <w:rPr>
          <w:rFonts w:ascii="Times New Roman" w:hAnsi="Times New Roman" w:cs="Times New Roman"/>
          <w:sz w:val="28"/>
          <w:szCs w:val="24"/>
        </w:rPr>
        <w:t xml:space="preserve">, n. 23463/04, §§ 136-140, 28 ottobre 2014). Tuttavia, non può essere esclusa, ad esempio, nel caso di brevi e occasionali piccole restrizioni dello spazio personale necessario, unite alla sufficiente libertà di movimento ed a sufficienti attività svolte al di fuori delle celle ed all’assegnazione ad una struttura detentiva adeguata (v., ad esempio,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cit., §§ 33-36).</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57. Infine, la Corte sottolinea che una questione piuttosto diversa da quella ora osservata sorge in casi in cui è in questione una cella detentiva più grande – che misura da tre a quattro metri quadri per detenuto. In tali casi, si rileverà una violazione dell’Articolo 3 soltanto se il fattore spazio sarà associato ad altri aspetti di inadeguate condizioni fisiche della detenzione relative in particolare all’accesso alle attività all’aperto, alla luce naturale o all’aria, alla disponibilità di ventilazione, all’adeguatezza degli elementi per il riscaldamento, la possibilità di usare la toilette nella riservatezza ed il rispetto delle basilari esigenze sanitarie ed igieniche (v. </w:t>
      </w:r>
      <w:proofErr w:type="spellStart"/>
      <w:r w:rsidRPr="00891AC9">
        <w:rPr>
          <w:rFonts w:ascii="Times New Roman" w:hAnsi="Times New Roman" w:cs="Times New Roman"/>
          <w:i/>
          <w:sz w:val="28"/>
          <w:szCs w:val="24"/>
        </w:rPr>
        <w:t>Ananyev</w:t>
      </w:r>
      <w:proofErr w:type="spellEnd"/>
      <w:r w:rsidRPr="00891AC9">
        <w:rPr>
          <w:rFonts w:ascii="Times New Roman" w:hAnsi="Times New Roman" w:cs="Times New Roman"/>
          <w:i/>
          <w:sz w:val="28"/>
          <w:szCs w:val="24"/>
        </w:rPr>
        <w:t xml:space="preserve"> ed altri</w:t>
      </w:r>
      <w:r w:rsidRPr="0024196F">
        <w:rPr>
          <w:rFonts w:ascii="Times New Roman" w:hAnsi="Times New Roman" w:cs="Times New Roman"/>
          <w:sz w:val="28"/>
          <w:szCs w:val="24"/>
        </w:rPr>
        <w:t xml:space="preserve">, cit., § 149; </w:t>
      </w:r>
      <w:proofErr w:type="spellStart"/>
      <w:r w:rsidRPr="0024196F">
        <w:rPr>
          <w:rFonts w:ascii="Times New Roman" w:hAnsi="Times New Roman" w:cs="Times New Roman"/>
          <w:i/>
          <w:sz w:val="28"/>
          <w:szCs w:val="24"/>
        </w:rPr>
        <w:t>Jirsák</w:t>
      </w:r>
      <w:proofErr w:type="spellEnd"/>
      <w:r w:rsidRPr="0024196F">
        <w:rPr>
          <w:rFonts w:ascii="Times New Roman" w:hAnsi="Times New Roman" w:cs="Times New Roman"/>
          <w:i/>
          <w:sz w:val="28"/>
          <w:szCs w:val="24"/>
        </w:rPr>
        <w:t xml:space="preserve"> c. Repubblica Ceca</w:t>
      </w:r>
      <w:r w:rsidRPr="0024196F">
        <w:rPr>
          <w:rFonts w:ascii="Times New Roman" w:hAnsi="Times New Roman" w:cs="Times New Roman"/>
          <w:sz w:val="28"/>
          <w:szCs w:val="24"/>
        </w:rPr>
        <w:t xml:space="preserve">, n. 8968/08, §§ 64-73, 5 aprile 2012; </w:t>
      </w:r>
      <w:proofErr w:type="spellStart"/>
      <w:r w:rsidRPr="0024196F">
        <w:rPr>
          <w:rFonts w:ascii="Times New Roman" w:hAnsi="Times New Roman" w:cs="Times New Roman"/>
          <w:i/>
          <w:sz w:val="28"/>
          <w:szCs w:val="24"/>
        </w:rPr>
        <w:t>Culev</w:t>
      </w:r>
      <w:proofErr w:type="spellEnd"/>
      <w:r w:rsidRPr="0024196F">
        <w:rPr>
          <w:rFonts w:ascii="Times New Roman" w:hAnsi="Times New Roman" w:cs="Times New Roman"/>
          <w:i/>
          <w:sz w:val="28"/>
          <w:szCs w:val="24"/>
        </w:rPr>
        <w:t xml:space="preserve"> c. Moldova</w:t>
      </w:r>
      <w:r w:rsidRPr="0024196F">
        <w:rPr>
          <w:rFonts w:ascii="Times New Roman" w:hAnsi="Times New Roman" w:cs="Times New Roman"/>
          <w:sz w:val="28"/>
          <w:szCs w:val="24"/>
        </w:rPr>
        <w:t xml:space="preserve">, n. 60179/09, §§ 35-39, 17 aprile 2012; </w:t>
      </w:r>
      <w:proofErr w:type="spellStart"/>
      <w:r w:rsidRPr="0024196F">
        <w:rPr>
          <w:rFonts w:ascii="Times New Roman" w:hAnsi="Times New Roman" w:cs="Times New Roman"/>
          <w:i/>
          <w:sz w:val="28"/>
          <w:szCs w:val="24"/>
        </w:rPr>
        <w:t>Longin</w:t>
      </w:r>
      <w:proofErr w:type="spellEnd"/>
      <w:r w:rsidRPr="0024196F">
        <w:rPr>
          <w:rFonts w:ascii="Times New Roman" w:hAnsi="Times New Roman" w:cs="Times New Roman"/>
          <w:sz w:val="28"/>
          <w:szCs w:val="24"/>
        </w:rPr>
        <w:t xml:space="preserve">, cit., §§ 59-61; </w:t>
      </w:r>
      <w:proofErr w:type="spellStart"/>
      <w:r w:rsidRPr="0024196F">
        <w:rPr>
          <w:rFonts w:ascii="Times New Roman" w:hAnsi="Times New Roman" w:cs="Times New Roman"/>
          <w:i/>
          <w:sz w:val="28"/>
          <w:szCs w:val="24"/>
        </w:rPr>
        <w:t>Torreggiani</w:t>
      </w:r>
      <w:proofErr w:type="spellEnd"/>
      <w:r w:rsidRPr="0024196F">
        <w:rPr>
          <w:rFonts w:ascii="Times New Roman" w:hAnsi="Times New Roman" w:cs="Times New Roman"/>
          <w:i/>
          <w:sz w:val="28"/>
          <w:szCs w:val="24"/>
        </w:rPr>
        <w:t xml:space="preserve"> ed Altri</w:t>
      </w:r>
      <w:r w:rsidRPr="0024196F">
        <w:rPr>
          <w:rFonts w:ascii="Times New Roman" w:hAnsi="Times New Roman" w:cs="Times New Roman"/>
          <w:sz w:val="28"/>
          <w:szCs w:val="24"/>
        </w:rPr>
        <w:t xml:space="preserve">, cit., § 69; e </w:t>
      </w:r>
      <w:proofErr w:type="spellStart"/>
      <w:r w:rsidRPr="0024196F">
        <w:rPr>
          <w:rFonts w:ascii="Times New Roman" w:hAnsi="Times New Roman" w:cs="Times New Roman"/>
          <w:i/>
          <w:sz w:val="28"/>
          <w:szCs w:val="24"/>
        </w:rPr>
        <w:t>Barilo</w:t>
      </w:r>
      <w:proofErr w:type="spellEnd"/>
      <w:r w:rsidRPr="0024196F">
        <w:rPr>
          <w:rFonts w:ascii="Times New Roman" w:hAnsi="Times New Roman" w:cs="Times New Roman"/>
          <w:i/>
          <w:sz w:val="28"/>
          <w:szCs w:val="24"/>
        </w:rPr>
        <w:t xml:space="preserve"> c. Ucraina</w:t>
      </w:r>
      <w:r w:rsidRPr="0024196F">
        <w:rPr>
          <w:rFonts w:ascii="Times New Roman" w:hAnsi="Times New Roman" w:cs="Times New Roman"/>
          <w:sz w:val="28"/>
          <w:szCs w:val="24"/>
        </w:rPr>
        <w:t>, n. 9607/06, §§ 80-83, 16 maggio 2013).</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8E5164" w:rsidP="0017635F">
      <w:pPr>
        <w:pStyle w:val="Paragrafoelenco"/>
        <w:numPr>
          <w:ilvl w:val="0"/>
          <w:numId w:val="19"/>
        </w:num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Applicazione di tali principi </w:t>
      </w:r>
      <w:r w:rsidR="0017635F" w:rsidRPr="0024196F">
        <w:rPr>
          <w:rFonts w:ascii="Times New Roman" w:hAnsi="Times New Roman" w:cs="Times New Roman"/>
          <w:b/>
          <w:sz w:val="28"/>
          <w:szCs w:val="24"/>
        </w:rPr>
        <w:t>al presente caso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58. La Corte osserva che il ricorrente fu detenuto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per un anno e cinque mesi, fra il 16 ottobre 2009 ed il 16 marzo 2011, dove fu collocato in quattro diverse celle (v. §§ 9 e 10). Se da un lato non vi è discussione fra le parti sul fatto che tali celle differivano per dimensioni e per numero di detenuti in esse collocati con il ricorrente, d’altra parte vi sono comunque discrepanze nei documenti presentati quanto alle dimensioni effettive ed alla portata del presunto sovraffollamento.</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59. Così, il richiedente ha sostenuto, invero in termini molto generali, che durante tutta la sua permanenza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egli aveva avuto 2,25 metri quadri di spazio personale (v. paragrafi 11 e 27), mentre il Governo ha presentato un resoconto dettagliato della dimensione delle celle e del numero dei detenuti in esse collocati col ricorrente mentre era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(v. paragrafo 12).</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60. Secondo le informazioni fornite dal Governo, nelle quattro celle in cui il ricorrente fu detenuto, egli aveva avuto fra 3 e 7,39 metri quadri di spazio personale. Solo occasionalmente, in particolare il 21 aprile 2010 (un giorno – 2,86 metri quadri) e dal 3 al 5 luglio 2010 (tre giorni - 2,86 metri quadri); dal 18 luglio al 13 agosto 2010 (ventisette giorni – 2,86 metri quadri); dal 31 agosto al 2 settembre 2010 (tre giorni – 2,80 metri quadri); dal 19 al 26 novembre 2010 (otto giorni – 2,80 metri quadri); dal 10 al 12 dicembre 2010 (tre giorni – 2,86 metri quadri); dal 22 al 24 dicembre 2010 (tre giorni – 2,86 metri quadri); e dal 24 al 25 febbraio 2011 (due giorni – 2,86 metri quadri) egli ha avuto appena meno di 3 metri quadri di spazio personale nella misura di 0,14 e 0,20 metri quadri, come indicato in relazione ad ognuno dei periodi annotati (v. paragrafo 12).</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61. La Corte osserva che le informazioni fornite dal Governo appaiono plausibili, dato che corrispondono al materiale a disposizione della Corte, in particolare alla documentazione pertinente relativa al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(v. paragrafo 13) e sono state confermate dal giudice dell’esecuzione penale nei suoi riscontri (v. paragrafo 24). Inoltre, la Corte osserva che il ricorrente non ha dimostrato quanto sosteneva, e cioè di avere avuto a disposizione solo 2,25 metri quadri di spazio personale durante tutta la sua permanenza presso il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Non soltanto ciò non era possibile, dato che la dimensione delle quattro celle in cui il ricorrente era stato detenuto ed il numero di detenuti collocati in quelle celle erano diversi, ma appare contrario a quanto emerge dal materiale presentato alla Corte, che il ricorrente ha tentato di mettere in discussione soltanto in termini generici. Inoltre, la Corte osserva che nei suoi iniziali reclami a livello nazionale, riguardanti il rifiuto delle autorità penitenziarie di trasferirlo in un altro istituto più vicino alla sua famiglia, il ricorrente non ha sollevato la questione del sovraffollamento, appoggiandosi su questa soltanto dopo che non era riuscito ad ottenere il trasferimento (v. paragrafi 15, 16, 17 e 19).</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62. In ogni caso, se da un lato è vero che lo spazio personale concesso al ricorrente non ha rispettato le raccomandazioni del CPT (v. paragrafo 35) e le disposizioni della Legge sull’Esecuzione delle Condanne (v. paragrafo 34), la Corte non ritiene che ciò sia stato così estremo da configurare in sé il riscontro di una violazione dell’Articolo 3 della Convenzione (v. paragrafo 51; </w:t>
      </w:r>
      <w:proofErr w:type="spellStart"/>
      <w:r w:rsidRPr="00891AC9">
        <w:rPr>
          <w:rFonts w:ascii="Times New Roman" w:hAnsi="Times New Roman" w:cs="Times New Roman"/>
          <w:i/>
          <w:sz w:val="28"/>
          <w:szCs w:val="24"/>
        </w:rPr>
        <w:t>Dolenc</w:t>
      </w:r>
      <w:proofErr w:type="spellEnd"/>
      <w:r w:rsidRPr="0024196F">
        <w:rPr>
          <w:rFonts w:ascii="Times New Roman" w:hAnsi="Times New Roman" w:cs="Times New Roman"/>
          <w:sz w:val="28"/>
          <w:szCs w:val="24"/>
        </w:rPr>
        <w:t xml:space="preserve">, cit. §§ 133 e 136; e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cit., §§ 33-34).</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63. In particolare, la Corte notale osservazioni del Governo che al ricorrente erano concesse tre ore al giorno, fra le16 e le 19, per muoversi liberamente al di fuori della cella, fatto che non è stato contestato dal ricorrente.</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64. Inoltre, ogni cella in cui il ricorrente è stato alloggiato consentiva libero accesso alla luce naturale ed all’aria, nonché all’acqua potabile (v. paragrafo 15). Al ricorrente era stato fornito un letto singolo ed egli non ha mai sostenuto che la disposizione delle celle, a causa delle loro installazioni fisse quali i tavoli, i letti e le toilette, gli impediva di muoversi liberamente all’interno della cella (confrontare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xml:space="preserve">, cit., § 34; e, al contrario, </w:t>
      </w:r>
      <w:proofErr w:type="spellStart"/>
      <w:r w:rsidRPr="00891AC9">
        <w:rPr>
          <w:rFonts w:ascii="Times New Roman" w:hAnsi="Times New Roman" w:cs="Times New Roman"/>
          <w:i/>
          <w:sz w:val="28"/>
          <w:szCs w:val="24"/>
        </w:rPr>
        <w:t>Yevgeniy</w:t>
      </w:r>
      <w:proofErr w:type="spellEnd"/>
      <w:r w:rsidRPr="00891AC9">
        <w:rPr>
          <w:rFonts w:ascii="Times New Roman" w:hAnsi="Times New Roman" w:cs="Times New Roman"/>
          <w:i/>
          <w:sz w:val="28"/>
          <w:szCs w:val="24"/>
        </w:rPr>
        <w:t xml:space="preserve"> </w:t>
      </w:r>
      <w:proofErr w:type="spellStart"/>
      <w:r w:rsidRPr="00891AC9">
        <w:rPr>
          <w:rFonts w:ascii="Times New Roman" w:hAnsi="Times New Roman" w:cs="Times New Roman"/>
          <w:i/>
          <w:sz w:val="28"/>
          <w:szCs w:val="24"/>
        </w:rPr>
        <w:t>Alekseyenko</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n. 41833/04, § 87, 27 gennaio 2011; e </w:t>
      </w:r>
      <w:proofErr w:type="spellStart"/>
      <w:r w:rsidRPr="00891AC9">
        <w:rPr>
          <w:rFonts w:ascii="Times New Roman" w:hAnsi="Times New Roman" w:cs="Times New Roman"/>
          <w:i/>
          <w:sz w:val="28"/>
          <w:szCs w:val="24"/>
        </w:rPr>
        <w:t>Manulin</w:t>
      </w:r>
      <w:proofErr w:type="spellEnd"/>
      <w:r w:rsidRPr="00891AC9">
        <w:rPr>
          <w:rFonts w:ascii="Times New Roman" w:hAnsi="Times New Roman" w:cs="Times New Roman"/>
          <w:i/>
          <w:sz w:val="28"/>
          <w:szCs w:val="24"/>
        </w:rPr>
        <w:t xml:space="preserve"> c. Russia</w:t>
      </w:r>
      <w:r w:rsidRPr="0024196F">
        <w:rPr>
          <w:rFonts w:ascii="Times New Roman" w:hAnsi="Times New Roman" w:cs="Times New Roman"/>
          <w:sz w:val="28"/>
          <w:szCs w:val="24"/>
        </w:rPr>
        <w:t>, n. 26676/06, § 46, 11 aprile 2013).</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65. Ancora, il Governo ha osservato che i detenuti potevano usare la palestra, che era aperta dalle 8 del mattino alle 12:30 e dalle 14 alle 18, ed il campo da pallacanestro, che era aperto nei giorni feriali fra le 15 e le 18 e nei fine settimana sia al mattino che al pomeriggio. Il carcere aveva anche un campo da badminton, tavoli da ping-pong e scacchiere, tutto a disposizione dei detenuti. Essi potevano inoltre prendere libri in prestito dalla biblioteca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che offriva i propri servizi al carcere, e potevano guardare la TV e prendere film in prestito (v. paragrafo 14). La Corte osserva, a tale proposito, che il ricorrente non ha fornito alcun argomento pertinente che potrebbe permettere alla Corte di concludere che egli non è stato messo in grado di usare le attrezzature e le strutture descritte dal Governo.</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66. Per quanto riguarda il resto delle osservazioni del ricorrente riguardanti presunte condizioni poco igieniche nelle celle, scarso cibo e attività ricreative ed istruttive inadeguate, la Corte non è in grado, in considerazione della mancanza di prove, di accogliere come credibili le accuse del ricorrente (v.</w:t>
      </w:r>
      <w:r w:rsidR="00891AC9">
        <w:rPr>
          <w:rFonts w:ascii="Times New Roman" w:hAnsi="Times New Roman" w:cs="Times New Roman"/>
          <w:sz w:val="28"/>
          <w:szCs w:val="24"/>
        </w:rPr>
        <w:t xml:space="preserve">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xml:space="preserve">, cit., § 35). Tanto più che il ricorrente, a parte avere genericamente denunciato una presunta mancanza di possibilità di essere assegnato ad un’attività lavorativa, non ha sollevato, e tanto meno specificato, tali accuse nel suo ricorso davanti alla Corte Costituzionale (v. paragrafo 25) e le sue osservazioni contraddicono il materiale a disposizione della Corte (v. paragrafi 13, 21 e 29). La Corte ha anche preso nota delle fotografie che mostrano l’interno del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il cortile dei passeggi, le celle dormitorio ed i relativi impianti sanitari, che non appaiono essere in spaventoso stato di conservazione o di pulizia.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67. Infine, per quanto riguarda i reclami del ricorrente sul fatto di non essere stato assegnato ad attività lavorative in carcere, la Corte riscontra che ciò, nelle attuali circostanze, non può sollevare una questione ai sensi dell’Articolo 3 della Convenzione.</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68. In considerazione di quanto sopra, la Corte ha ben presente che la dimensione delle celle in cui fu assegnato il ricorrente non è stata sempre adeguata, per il fatto che durante sporadici periodi brevi non consecutivi egli ha sofferto una limitazione di poco meno di tre metri quadri di spazio personale (v. paragrafo 60). A tal riguardo, la Corte osserva con preoccupazione un periodo di ventisette giorni durante il quale il ricorrente ha avuto a disposizione meno di tre metri quadri di spazio personale. Tuttavia, ciò è stato accompagnato allo stesso tempo da libertà sufficiente di spazio e dall’assegnazione ad una struttura adeguata. Quindi, la Corte conclude che, nelle circostanze del caso, non si può stabilire che le condizioni detentive del ricorrente, sebbene non sempre adeguate, abbiano raggiunto la soglia di gravità necessaria per caratterizzare il trattamento come inumano e degradante ai sensi dell’Articolo 3 della Convenzione (confrontare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cit., § 36).</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69. Pertanto, non vi è stata violazione dell’Articolo 3 della Convenzione.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 xml:space="preserve">II. PRESUNTE VIOLAZIONI DELL’ARTICOLO 13 DELLA CONVENZIONE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70. Il ricorrente sostiene che non ha ottenuto un rimedio efficace per i suoi reclami relativi alle condizioni della sua detenzione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Egli si basa sull’articolo 13 della Convenzione, che recita:</w:t>
      </w:r>
    </w:p>
    <w:p w:rsidR="0017635F" w:rsidRPr="0024196F" w:rsidRDefault="0017635F" w:rsidP="0017635F">
      <w:pPr>
        <w:spacing w:after="0" w:line="240" w:lineRule="auto"/>
        <w:jc w:val="center"/>
        <w:rPr>
          <w:rFonts w:ascii="Times New Roman" w:hAnsi="Times New Roman" w:cs="Times New Roman"/>
          <w:sz w:val="28"/>
          <w:szCs w:val="24"/>
        </w:rPr>
      </w:pPr>
    </w:p>
    <w:p w:rsidR="0017635F" w:rsidRPr="00891AC9" w:rsidRDefault="0017635F" w:rsidP="0017635F">
      <w:pPr>
        <w:spacing w:after="0" w:line="240" w:lineRule="auto"/>
        <w:jc w:val="center"/>
        <w:rPr>
          <w:rFonts w:ascii="Times New Roman" w:hAnsi="Times New Roman" w:cs="Times New Roman"/>
          <w:sz w:val="24"/>
          <w:szCs w:val="24"/>
        </w:rPr>
      </w:pPr>
      <w:r w:rsidRPr="00891AC9">
        <w:rPr>
          <w:rFonts w:ascii="Times New Roman" w:hAnsi="Times New Roman" w:cs="Times New Roman"/>
          <w:sz w:val="24"/>
          <w:szCs w:val="24"/>
        </w:rPr>
        <w:t>Articolo 13</w:t>
      </w:r>
    </w:p>
    <w:p w:rsidR="0017635F" w:rsidRPr="00891AC9" w:rsidRDefault="0017635F" w:rsidP="0017635F">
      <w:pPr>
        <w:pStyle w:val="Default"/>
        <w:rPr>
          <w:rFonts w:ascii="Times New Roman" w:hAnsi="Times New Roman" w:cs="Times New Roman"/>
        </w:rPr>
      </w:pPr>
    </w:p>
    <w:p w:rsidR="0017635F" w:rsidRPr="00891AC9" w:rsidRDefault="0017635F" w:rsidP="0017635F">
      <w:pPr>
        <w:spacing w:after="0" w:line="240" w:lineRule="auto"/>
        <w:ind w:left="1134" w:right="1416"/>
        <w:jc w:val="both"/>
        <w:rPr>
          <w:rFonts w:ascii="Times New Roman" w:hAnsi="Times New Roman" w:cs="Times New Roman"/>
          <w:i/>
          <w:sz w:val="24"/>
          <w:szCs w:val="24"/>
        </w:rPr>
      </w:pPr>
      <w:r w:rsidRPr="00891AC9">
        <w:rPr>
          <w:rFonts w:ascii="Times New Roman" w:hAnsi="Times New Roman" w:cs="Times New Roman"/>
          <w:i/>
          <w:color w:val="000000"/>
          <w:sz w:val="24"/>
          <w:szCs w:val="24"/>
        </w:rPr>
        <w:t>Ogni persona i cui diritti e le cui libertà riconosciuti nella presente Convenzione siano stati violati, ha diritto a un ricorso effettivo davanti a un’istanza nazionale, anche quando la violazione sia stata commessa da persone che agiscono nell’esercizio delle loro funzioni ufficiali.</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pStyle w:val="Paragrafoelenco"/>
        <w:numPr>
          <w:ilvl w:val="0"/>
          <w:numId w:val="11"/>
        </w:numPr>
        <w:spacing w:after="0" w:line="240" w:lineRule="auto"/>
        <w:jc w:val="both"/>
        <w:rPr>
          <w:rFonts w:ascii="Times New Roman" w:hAnsi="Times New Roman" w:cs="Times New Roman"/>
          <w:b/>
          <w:sz w:val="28"/>
          <w:szCs w:val="24"/>
        </w:rPr>
      </w:pPr>
      <w:r w:rsidRPr="0024196F">
        <w:rPr>
          <w:rFonts w:ascii="Times New Roman" w:hAnsi="Times New Roman" w:cs="Times New Roman"/>
          <w:b/>
          <w:sz w:val="28"/>
          <w:szCs w:val="24"/>
        </w:rPr>
        <w:t xml:space="preserve">Gli argomenti delle parti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71. Il ricorrente ha sostenuto che gli è stata negata tutela giudiziaria riguardo le sue condizioni detentive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poiché il competente giudice dell’esecuzione penale ed il collegio composto da tre giudici del Tribunale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avevano sbagliato nelle loro conclusioni sui fatti e sull’interpretazione della legge, allorché avevano esaminato i suoi reclami. Inoltre, la Corte Costituzionale non aveva esaminato adeguatamente i suoi reclami, e li aveva dichiarati inammissibili senza prove adeguate.</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72. Il Governo ha osservato che i reclami del ricorrente erano stati esaminati in </w:t>
      </w:r>
      <w:proofErr w:type="spellStart"/>
      <w:r w:rsidRPr="0024196F">
        <w:rPr>
          <w:rFonts w:ascii="Times New Roman" w:hAnsi="Times New Roman" w:cs="Times New Roman"/>
          <w:sz w:val="28"/>
          <w:szCs w:val="24"/>
        </w:rPr>
        <w:t>dettaglioda</w:t>
      </w:r>
      <w:proofErr w:type="spellEnd"/>
      <w:r w:rsidRPr="0024196F">
        <w:rPr>
          <w:rFonts w:ascii="Times New Roman" w:hAnsi="Times New Roman" w:cs="Times New Roman"/>
          <w:sz w:val="28"/>
          <w:szCs w:val="24"/>
        </w:rPr>
        <w:t xml:space="preserve"> parte del competente giudice dell’esecuzione penale del Tribunale della Contea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che aveva preso in considerazione tutte le sue denunce ed aveva adottato una decisione nel merito, giudicando i suoi reclami infondati. Inoltre, la Corte Costituzionale, limitandosi agli specifici reclami del ricorrente, aveva dichiarato il suo reclamo costituzionale inammissibile poiché non aveva sollevato nessuna questione di violazione dei suoi diritti.</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b/>
          <w:sz w:val="28"/>
          <w:szCs w:val="24"/>
        </w:rPr>
      </w:pPr>
      <w:r w:rsidRPr="0024196F">
        <w:rPr>
          <w:rFonts w:ascii="Times New Roman" w:hAnsi="Times New Roman" w:cs="Times New Roman"/>
          <w:b/>
          <w:sz w:val="28"/>
          <w:szCs w:val="24"/>
        </w:rPr>
        <w:t>B.</w:t>
      </w:r>
      <w:r w:rsidRPr="0024196F">
        <w:rPr>
          <w:rFonts w:ascii="Times New Roman" w:hAnsi="Times New Roman" w:cs="Times New Roman"/>
          <w:b/>
          <w:sz w:val="28"/>
          <w:szCs w:val="24"/>
        </w:rPr>
        <w:tab/>
        <w:t>La valutazione della Corte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73. La Corte osserva che i reclami del ricorrente riguardanti le sue condizioni detentive nel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sono state esaminate nel merito da parte del competente giudice dell’esecuzione penale del Tribunale della Contea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che aveva tenuto conto di tutte le circostanze della sua detenzione e dei suoi reclami specifici. Il giudice aveva richiesto ed ottenuto un rapporto dall’amministrazione del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ed aveva ascoltato di persona il ricorrente (v. paragrafo 21).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74. Inoltre, il ricorrente aveva potuto presentare un appello contro la sentenza del giudice dell’esecuzione penale presso un collegio di tre giudici del Tribunale della Contea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che lo aveva esaminato nel merito e lo aveva respinto come infondato, approvando il ragionamento del giudice dell’esecuzione penale. Il ricorrente aveva anche potuto presentare un ricorso alla corte costituzionale che fu respinto come manifestamente infondato, in ragione di come era dimostrato ed in considerazione delle decisioni del Tribunale della Contea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75. In tali circostanze, tenuto conto del fatto che il ricorrente non ha impugnato l’efficacia dei rimedi interni in quanto tali, e che l’Articolo 13 non garantisce il successo in relazione ad un rimedio utilizzato (v., ad esempio, </w:t>
      </w:r>
      <w:proofErr w:type="spellStart"/>
      <w:r w:rsidRPr="00891AC9">
        <w:rPr>
          <w:rFonts w:ascii="Times New Roman" w:hAnsi="Times New Roman" w:cs="Times New Roman"/>
          <w:i/>
          <w:sz w:val="28"/>
          <w:szCs w:val="24"/>
        </w:rPr>
        <w:t>Vanjak</w:t>
      </w:r>
      <w:proofErr w:type="spellEnd"/>
      <w:r w:rsidRPr="00891AC9">
        <w:rPr>
          <w:rFonts w:ascii="Times New Roman" w:hAnsi="Times New Roman" w:cs="Times New Roman"/>
          <w:i/>
          <w:sz w:val="28"/>
          <w:szCs w:val="24"/>
        </w:rPr>
        <w:t xml:space="preserve"> c. Croazia</w:t>
      </w:r>
      <w:r w:rsidRPr="0024196F">
        <w:rPr>
          <w:rFonts w:ascii="Times New Roman" w:hAnsi="Times New Roman" w:cs="Times New Roman"/>
          <w:sz w:val="28"/>
          <w:szCs w:val="24"/>
        </w:rPr>
        <w:t xml:space="preserve">, n. 29889/04, § 77, 14 gennaio 2010), la Corte non riscontra alcun segno di violazione di quella disposizione.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76. Considerato quanto sopra, la Corte ritiene che questa parte del ricorso è manifestamente infondata e deve essere respinta ai sensi dell’Articolo 35 §§ 3 (a) e 4 della Convenzione.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891AC9" w:rsidRDefault="00891AC9" w:rsidP="0017635F">
      <w:pPr>
        <w:spacing w:after="0" w:line="240" w:lineRule="auto"/>
        <w:ind w:firstLine="360"/>
        <w:jc w:val="both"/>
        <w:rPr>
          <w:rFonts w:ascii="Times New Roman" w:hAnsi="Times New Roman" w:cs="Times New Roman"/>
          <w:sz w:val="28"/>
          <w:szCs w:val="24"/>
        </w:rPr>
      </w:pPr>
    </w:p>
    <w:p w:rsidR="00891AC9" w:rsidRDefault="00891AC9" w:rsidP="0017635F">
      <w:pPr>
        <w:spacing w:after="0" w:line="240" w:lineRule="auto"/>
        <w:ind w:firstLine="360"/>
        <w:jc w:val="both"/>
        <w:rPr>
          <w:rFonts w:ascii="Times New Roman" w:hAnsi="Times New Roman" w:cs="Times New Roman"/>
          <w:sz w:val="28"/>
          <w:szCs w:val="24"/>
        </w:rPr>
      </w:pPr>
    </w:p>
    <w:p w:rsidR="00891AC9" w:rsidRDefault="00891AC9"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III. ALTRE PRESUNTE VIOLAZIONI DELLA CONVENZIONE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77. Il ricorrente fa riferimento anche agli Articoli 6 e 14 della Convenzione, ribadendo i propri reclami sopra citati.</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78. Alla luce di tutto il materiale in suo possesso, e nella misura in cui le materie oggetto dei reclami sono di propria competenza, la Corte ritiene che questa parte del reclamo non rivela alcun segnale di violazione della Convenzione. Ne consegue che questa è inammissibile ai sensi dell’Articolo 35 § 3 (a) come manifestamente infondata e deve essere respinta ai sensi dell’Articolo 35 § 4 della Convenzione.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PER TALI RAGIONI, LA CORTE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pStyle w:val="Paragrafoelenco"/>
        <w:numPr>
          <w:ilvl w:val="0"/>
          <w:numId w:val="12"/>
        </w:numPr>
        <w:spacing w:after="0" w:line="240" w:lineRule="auto"/>
        <w:jc w:val="both"/>
        <w:rPr>
          <w:rFonts w:ascii="Times New Roman" w:hAnsi="Times New Roman" w:cs="Times New Roman"/>
          <w:sz w:val="28"/>
          <w:szCs w:val="24"/>
        </w:rPr>
      </w:pPr>
      <w:r w:rsidRPr="0024196F">
        <w:rPr>
          <w:rFonts w:ascii="Times New Roman" w:hAnsi="Times New Roman" w:cs="Times New Roman"/>
          <w:i/>
          <w:sz w:val="28"/>
          <w:szCs w:val="24"/>
        </w:rPr>
        <w:t>Dichiara</w:t>
      </w:r>
      <w:r w:rsidRPr="0024196F">
        <w:rPr>
          <w:rFonts w:ascii="Times New Roman" w:hAnsi="Times New Roman" w:cs="Times New Roman"/>
          <w:sz w:val="28"/>
          <w:szCs w:val="24"/>
        </w:rPr>
        <w:t>, unanimemente, il reclamo ai sensi dell’Articolo 3 della Convenzione ammissibile ed il resto del reclamo inammissibile;</w:t>
      </w:r>
    </w:p>
    <w:p w:rsidR="0017635F" w:rsidRPr="0024196F" w:rsidRDefault="0017635F" w:rsidP="0017635F">
      <w:pPr>
        <w:pStyle w:val="Paragrafoelenco"/>
        <w:spacing w:after="0" w:line="240" w:lineRule="auto"/>
        <w:jc w:val="both"/>
        <w:rPr>
          <w:rFonts w:ascii="Times New Roman" w:hAnsi="Times New Roman" w:cs="Times New Roman"/>
          <w:sz w:val="28"/>
          <w:szCs w:val="24"/>
        </w:rPr>
      </w:pPr>
    </w:p>
    <w:p w:rsidR="0017635F" w:rsidRPr="0024196F" w:rsidRDefault="0017635F" w:rsidP="0017635F">
      <w:pPr>
        <w:pStyle w:val="Paragrafoelenco"/>
        <w:numPr>
          <w:ilvl w:val="0"/>
          <w:numId w:val="12"/>
        </w:numPr>
        <w:spacing w:after="0" w:line="240" w:lineRule="auto"/>
        <w:jc w:val="both"/>
        <w:rPr>
          <w:rFonts w:ascii="Times New Roman" w:hAnsi="Times New Roman" w:cs="Times New Roman"/>
          <w:sz w:val="28"/>
          <w:szCs w:val="24"/>
        </w:rPr>
      </w:pPr>
      <w:r w:rsidRPr="0024196F">
        <w:rPr>
          <w:rFonts w:ascii="Times New Roman" w:hAnsi="Times New Roman" w:cs="Times New Roman"/>
          <w:i/>
          <w:sz w:val="28"/>
          <w:szCs w:val="24"/>
        </w:rPr>
        <w:t>Ritiene</w:t>
      </w:r>
      <w:r w:rsidRPr="0024196F">
        <w:rPr>
          <w:rFonts w:ascii="Times New Roman" w:hAnsi="Times New Roman" w:cs="Times New Roman"/>
          <w:sz w:val="28"/>
          <w:szCs w:val="24"/>
        </w:rPr>
        <w:t>, con sei voti contro uno, che non vi sia stata violazione dell’Articolo 3 della Convenzione.</w:t>
      </w:r>
    </w:p>
    <w:p w:rsidR="0017635F" w:rsidRPr="0024196F" w:rsidRDefault="0017635F" w:rsidP="00CD3F8B">
      <w:pPr>
        <w:pStyle w:val="Paragrafoelenco"/>
        <w:spacing w:after="0"/>
        <w:contextualSpacing w:val="0"/>
        <w:rPr>
          <w:rFonts w:ascii="Times New Roman" w:hAnsi="Times New Roman" w:cs="Times New Roman"/>
          <w:sz w:val="28"/>
          <w:szCs w:val="24"/>
        </w:rPr>
      </w:pPr>
    </w:p>
    <w:p w:rsidR="0017635F" w:rsidRPr="0024196F" w:rsidRDefault="0017635F" w:rsidP="00CD3F8B">
      <w:pPr>
        <w:pStyle w:val="Paragrafoelenco"/>
        <w:spacing w:after="0"/>
        <w:contextualSpacing w:val="0"/>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Fatto in inglese e notificato per iscritto il 12 marzo 2015, ai sensi della Regola 77, §§ 2 e 3 delle Regole della Corte.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roofErr w:type="spellStart"/>
      <w:r w:rsidRPr="0024196F">
        <w:rPr>
          <w:rFonts w:ascii="Times New Roman" w:hAnsi="Times New Roman" w:cs="Times New Roman"/>
          <w:sz w:val="28"/>
          <w:szCs w:val="24"/>
        </w:rPr>
        <w:t>Soren</w:t>
      </w:r>
      <w:proofErr w:type="spellEnd"/>
      <w:r w:rsidRPr="0024196F">
        <w:rPr>
          <w:rFonts w:ascii="Times New Roman" w:hAnsi="Times New Roman" w:cs="Times New Roman"/>
          <w:sz w:val="28"/>
          <w:szCs w:val="24"/>
        </w:rPr>
        <w:t xml:space="preserve"> Nielsen</w:t>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t xml:space="preserve">Isabelle </w:t>
      </w:r>
      <w:proofErr w:type="spellStart"/>
      <w:r w:rsidRPr="0024196F">
        <w:rPr>
          <w:rFonts w:ascii="Times New Roman" w:hAnsi="Times New Roman" w:cs="Times New Roman"/>
          <w:sz w:val="28"/>
          <w:szCs w:val="24"/>
        </w:rPr>
        <w:t>Berro</w:t>
      </w:r>
      <w:proofErr w:type="spellEnd"/>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Cancelliere</w:t>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r>
      <w:r w:rsidRPr="0024196F">
        <w:rPr>
          <w:rFonts w:ascii="Times New Roman" w:hAnsi="Times New Roman" w:cs="Times New Roman"/>
          <w:sz w:val="28"/>
          <w:szCs w:val="24"/>
        </w:rPr>
        <w:tab/>
        <w:t>Presidente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r w:rsidRPr="0024196F">
        <w:rPr>
          <w:rFonts w:ascii="Times New Roman" w:hAnsi="Times New Roman" w:cs="Times New Roman"/>
          <w:sz w:val="28"/>
          <w:szCs w:val="24"/>
        </w:rPr>
        <w:t xml:space="preserve">Ai sensi dell’Articolo 45 § 2 della Convenzione e della Regola 74, § 2 delle Regole della Corte, si allega alla presente sentenza l’opinione dissenziente del Giudice </w:t>
      </w:r>
      <w:proofErr w:type="spellStart"/>
      <w:r w:rsidRPr="0024196F">
        <w:rPr>
          <w:rFonts w:ascii="Times New Roman" w:hAnsi="Times New Roman" w:cs="Times New Roman"/>
          <w:sz w:val="28"/>
          <w:szCs w:val="24"/>
        </w:rPr>
        <w:t>Sicilianos</w:t>
      </w:r>
      <w:proofErr w:type="spellEnd"/>
      <w:r w:rsidRPr="0024196F">
        <w:rPr>
          <w:rFonts w:ascii="Times New Roman" w:hAnsi="Times New Roman" w:cs="Times New Roman"/>
          <w:sz w:val="28"/>
          <w:szCs w:val="24"/>
        </w:rPr>
        <w:t>.</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sz w:val="28"/>
          <w:szCs w:val="24"/>
        </w:rPr>
      </w:pPr>
    </w:p>
    <w:p w:rsidR="00891AC9" w:rsidRDefault="00891AC9">
      <w:pPr>
        <w:rPr>
          <w:rFonts w:ascii="Times New Roman" w:hAnsi="Times New Roman" w:cs="Times New Roman"/>
          <w:sz w:val="28"/>
          <w:szCs w:val="24"/>
        </w:rPr>
      </w:pPr>
      <w:r>
        <w:rPr>
          <w:rFonts w:ascii="Times New Roman" w:hAnsi="Times New Roman" w:cs="Times New Roman"/>
          <w:sz w:val="28"/>
          <w:szCs w:val="24"/>
        </w:rPr>
        <w:br w:type="page"/>
      </w:r>
    </w:p>
    <w:p w:rsidR="0017635F" w:rsidRPr="0024196F" w:rsidRDefault="0017635F" w:rsidP="0017635F">
      <w:pPr>
        <w:spacing w:after="0" w:line="240" w:lineRule="auto"/>
        <w:jc w:val="center"/>
        <w:rPr>
          <w:rFonts w:ascii="Times New Roman" w:hAnsi="Times New Roman" w:cs="Times New Roman"/>
          <w:sz w:val="32"/>
          <w:szCs w:val="24"/>
        </w:rPr>
      </w:pPr>
      <w:r w:rsidRPr="0024196F">
        <w:rPr>
          <w:rFonts w:ascii="Times New Roman" w:hAnsi="Times New Roman" w:cs="Times New Roman"/>
          <w:sz w:val="32"/>
          <w:szCs w:val="24"/>
        </w:rPr>
        <w:t>OPINIONE DISSENZIENTE DEL GIUDICE SICILIANOS</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 Con mio rammarico, non ho potuto seguire la maggioranza nel riscontrare che non vi è stata violazione dell’Articolo 3 della Convenzione nel presente caso, specialmente in considerazione del fatto che il ricorrente è stato collocato in una cella in cui gli è stato concesso uno spazio personale inferiore ai 3 metri quadri per diversi giorni. Inoltre, io ritengo che il caso sollevi questioni più generali riguardanti sia i principi generali applicabili che la metodologia della Corte nell’applicare tali principi.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pStyle w:val="Paragrafoelenco"/>
        <w:numPr>
          <w:ilvl w:val="0"/>
          <w:numId w:val="14"/>
        </w:numPr>
        <w:spacing w:after="0" w:line="240" w:lineRule="auto"/>
        <w:jc w:val="both"/>
        <w:rPr>
          <w:rFonts w:ascii="Times New Roman" w:hAnsi="Times New Roman" w:cs="Times New Roman"/>
          <w:b/>
          <w:sz w:val="28"/>
          <w:szCs w:val="24"/>
        </w:rPr>
      </w:pPr>
      <w:r w:rsidRPr="0024196F">
        <w:rPr>
          <w:rFonts w:ascii="Times New Roman" w:hAnsi="Times New Roman" w:cs="Times New Roman"/>
          <w:b/>
          <w:sz w:val="28"/>
          <w:szCs w:val="24"/>
        </w:rPr>
        <w:t>Principi generali applicabili nel contesto del sovraffollamento penitenziario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center"/>
        <w:rPr>
          <w:rFonts w:ascii="Times New Roman" w:hAnsi="Times New Roman" w:cs="Times New Roman"/>
          <w:i/>
          <w:sz w:val="24"/>
          <w:szCs w:val="24"/>
        </w:rPr>
      </w:pPr>
      <w:r w:rsidRPr="0024196F">
        <w:rPr>
          <w:rFonts w:ascii="Times New Roman" w:hAnsi="Times New Roman" w:cs="Times New Roman"/>
          <w:i/>
          <w:sz w:val="24"/>
          <w:szCs w:val="24"/>
        </w:rPr>
        <w:t>i. Uno spazio personale inferiore a 3 metri quadri crea la “forte presunzione” di una violazione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2. In relazione allo spazio minimo che un detenuto dovrebbe avere a disposizione, la sentenza fa riferimento ad una serie di sentenze precedenti, che stabiliscono che “la Corte ha sempre rifiutato di determinare, una volta per tutte, quanti metri quadri devono essere assegnati ad un detenuto ai sensi della Convenzione” (v. paragrafo 52 della sentenza, con ulteriori riferimenti). Nel paragrafo successivo, tuttavia, la sentenza ribadisce i criteri usati in </w:t>
      </w:r>
      <w:proofErr w:type="spellStart"/>
      <w:r w:rsidRPr="0024196F">
        <w:rPr>
          <w:rFonts w:ascii="Times New Roman" w:hAnsi="Times New Roman" w:cs="Times New Roman"/>
          <w:i/>
          <w:sz w:val="28"/>
          <w:szCs w:val="24"/>
        </w:rPr>
        <w:t>Ananyev</w:t>
      </w:r>
      <w:proofErr w:type="spellEnd"/>
      <w:r w:rsidRPr="0024196F">
        <w:rPr>
          <w:rFonts w:ascii="Times New Roman" w:hAnsi="Times New Roman" w:cs="Times New Roman"/>
          <w:i/>
          <w:sz w:val="28"/>
          <w:szCs w:val="24"/>
        </w:rPr>
        <w:t xml:space="preserve"> ed altri c. Russia</w:t>
      </w:r>
      <w:r w:rsidRPr="0024196F">
        <w:rPr>
          <w:rFonts w:ascii="Times New Roman" w:hAnsi="Times New Roman" w:cs="Times New Roman"/>
          <w:sz w:val="28"/>
          <w:szCs w:val="24"/>
        </w:rPr>
        <w:t xml:space="preserve">, e in particolare che: (a) ogni detenuto deve avere nella cella un posto individuale per dormire; (b) ogni detenuto deve avere almeno 3 metri quadri di superficie; e (c) la superficie totale della cella deve essere tale da permettere ai detenuti di muoversi liberamente fra gli elementi di arredo. Questi criteri devono essere soddisfatti in maniera cumulativa. Come evidenziato in </w:t>
      </w:r>
      <w:proofErr w:type="spellStart"/>
      <w:r w:rsidRPr="0024196F">
        <w:rPr>
          <w:rFonts w:ascii="Times New Roman" w:hAnsi="Times New Roman" w:cs="Times New Roman"/>
          <w:i/>
          <w:sz w:val="28"/>
          <w:szCs w:val="24"/>
        </w:rPr>
        <w:t>Ananyev</w:t>
      </w:r>
      <w:proofErr w:type="spellEnd"/>
      <w:r w:rsidRPr="0024196F">
        <w:rPr>
          <w:rFonts w:ascii="Times New Roman" w:hAnsi="Times New Roman" w:cs="Times New Roman"/>
          <w:i/>
          <w:sz w:val="28"/>
          <w:szCs w:val="24"/>
        </w:rPr>
        <w:t xml:space="preserve"> ed altri</w:t>
      </w:r>
      <w:r w:rsidRPr="0024196F">
        <w:rPr>
          <w:rFonts w:ascii="Times New Roman" w:hAnsi="Times New Roman" w:cs="Times New Roman"/>
          <w:sz w:val="28"/>
          <w:szCs w:val="24"/>
        </w:rPr>
        <w:t xml:space="preserve">, l’assenza di uno qualunque di tali aspetti crea di per sé una “forte presunzione” che le condizioni di detenzione risultino in un trattamento degradante e siano in violazione all’Articolo 3 (v. </w:t>
      </w:r>
      <w:proofErr w:type="spellStart"/>
      <w:r w:rsidRPr="0024196F">
        <w:rPr>
          <w:rFonts w:ascii="Times New Roman" w:hAnsi="Times New Roman" w:cs="Times New Roman"/>
          <w:i/>
          <w:sz w:val="28"/>
          <w:szCs w:val="24"/>
        </w:rPr>
        <w:t>Ananyev</w:t>
      </w:r>
      <w:proofErr w:type="spellEnd"/>
      <w:r w:rsidRPr="0024196F">
        <w:rPr>
          <w:rFonts w:ascii="Times New Roman" w:hAnsi="Times New Roman" w:cs="Times New Roman"/>
          <w:i/>
          <w:sz w:val="28"/>
          <w:szCs w:val="24"/>
        </w:rPr>
        <w:t xml:space="preserve"> ed altri c. Russia</w:t>
      </w:r>
      <w:r w:rsidRPr="0024196F">
        <w:rPr>
          <w:rFonts w:ascii="Times New Roman" w:hAnsi="Times New Roman" w:cs="Times New Roman"/>
          <w:sz w:val="28"/>
          <w:szCs w:val="24"/>
        </w:rPr>
        <w:t xml:space="preserve">, </w:t>
      </w:r>
      <w:proofErr w:type="spellStart"/>
      <w:r w:rsidRPr="0024196F">
        <w:rPr>
          <w:rFonts w:ascii="Times New Roman" w:hAnsi="Times New Roman" w:cs="Times New Roman"/>
          <w:sz w:val="28"/>
          <w:szCs w:val="24"/>
        </w:rPr>
        <w:t>nn</w:t>
      </w:r>
      <w:proofErr w:type="spellEnd"/>
      <w:r w:rsidRPr="0024196F">
        <w:rPr>
          <w:rFonts w:ascii="Times New Roman" w:hAnsi="Times New Roman" w:cs="Times New Roman"/>
          <w:sz w:val="28"/>
          <w:szCs w:val="24"/>
        </w:rPr>
        <w:t xml:space="preserve">. 42525/07 e 60800/08, § 148, 10 gennaio 2012; v. inoltre </w:t>
      </w:r>
      <w:proofErr w:type="spellStart"/>
      <w:r w:rsidRPr="0024196F">
        <w:rPr>
          <w:rFonts w:ascii="Times New Roman" w:hAnsi="Times New Roman" w:cs="Times New Roman"/>
          <w:i/>
          <w:sz w:val="28"/>
          <w:szCs w:val="24"/>
        </w:rPr>
        <w:t>Olszewski</w:t>
      </w:r>
      <w:proofErr w:type="spellEnd"/>
      <w:r w:rsidRPr="0024196F">
        <w:rPr>
          <w:rFonts w:ascii="Times New Roman" w:hAnsi="Times New Roman" w:cs="Times New Roman"/>
          <w:i/>
          <w:sz w:val="28"/>
          <w:szCs w:val="24"/>
        </w:rPr>
        <w:t xml:space="preserve"> c. Polonia</w:t>
      </w:r>
      <w:r w:rsidRPr="0024196F">
        <w:rPr>
          <w:rFonts w:ascii="Times New Roman" w:hAnsi="Times New Roman" w:cs="Times New Roman"/>
          <w:sz w:val="28"/>
          <w:szCs w:val="24"/>
        </w:rPr>
        <w:t>, n. 21880/03, § 98, 2 aprile 2013).</w:t>
      </w:r>
      <w:r w:rsidR="00891AC9">
        <w:rPr>
          <w:rFonts w:ascii="Times New Roman" w:hAnsi="Times New Roman" w:cs="Times New Roman"/>
          <w:sz w:val="28"/>
          <w:szCs w:val="24"/>
        </w:rPr>
        <w:t xml:space="preserve"> </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sz w:val="32"/>
          <w:szCs w:val="24"/>
        </w:rPr>
      </w:pPr>
      <w:r w:rsidRPr="0024196F">
        <w:rPr>
          <w:rFonts w:ascii="Times New Roman" w:hAnsi="Times New Roman" w:cs="Times New Roman"/>
          <w:i/>
          <w:sz w:val="24"/>
          <w:szCs w:val="24"/>
        </w:rPr>
        <w:t>ii. Uno spazio personale inferiore a 3 metri quadri è una violazione di per sé</w:t>
      </w:r>
    </w:p>
    <w:p w:rsidR="0017635F" w:rsidRPr="0024196F" w:rsidRDefault="0017635F" w:rsidP="0017635F">
      <w:pPr>
        <w:spacing w:after="0" w:line="240" w:lineRule="auto"/>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3. Contrariamente a ciò che la sentenza sottintende chiaramente al paragrafo 54, la giurisprudenza della Corte non è sistematicamente “basata su tale presunzione”. In numerose sentenze la Corte, sebbene riferendosi ad </w:t>
      </w:r>
      <w:proofErr w:type="spellStart"/>
      <w:r w:rsidRPr="0024196F">
        <w:rPr>
          <w:rFonts w:ascii="Times New Roman" w:hAnsi="Times New Roman" w:cs="Times New Roman"/>
          <w:i/>
          <w:sz w:val="28"/>
          <w:szCs w:val="24"/>
        </w:rPr>
        <w:t>Ananyev</w:t>
      </w:r>
      <w:proofErr w:type="spellEnd"/>
      <w:r w:rsidRPr="0024196F">
        <w:rPr>
          <w:rFonts w:ascii="Times New Roman" w:hAnsi="Times New Roman" w:cs="Times New Roman"/>
          <w:i/>
          <w:sz w:val="28"/>
          <w:szCs w:val="24"/>
        </w:rPr>
        <w:t xml:space="preserve"> ed altri</w:t>
      </w:r>
      <w:r w:rsidRPr="0024196F">
        <w:rPr>
          <w:rFonts w:ascii="Times New Roman" w:hAnsi="Times New Roman" w:cs="Times New Roman"/>
          <w:sz w:val="28"/>
          <w:szCs w:val="24"/>
        </w:rPr>
        <w:t xml:space="preserve">, non cita necessariamente tale “presunzione”, ma sembra suggerire che 3 metri quadri sono un minimo indispensabile da rispettare in tutte le circostanze. Il mancato rispetto di tale minimo è di per sé sufficiente per riscontrare una violazione dell’Articolo 3 della Convenzione. Ad esempio, in </w:t>
      </w:r>
      <w:proofErr w:type="spellStart"/>
      <w:r w:rsidRPr="0024196F">
        <w:rPr>
          <w:rFonts w:ascii="Times New Roman" w:hAnsi="Times New Roman" w:cs="Times New Roman"/>
          <w:i/>
          <w:sz w:val="28"/>
          <w:szCs w:val="24"/>
        </w:rPr>
        <w:t>Byglyashvili</w:t>
      </w:r>
      <w:proofErr w:type="spellEnd"/>
      <w:r w:rsidRPr="0024196F">
        <w:rPr>
          <w:rFonts w:ascii="Times New Roman" w:hAnsi="Times New Roman" w:cs="Times New Roman"/>
          <w:i/>
          <w:sz w:val="28"/>
          <w:szCs w:val="24"/>
        </w:rPr>
        <w:t xml:space="preserve"> c. Grecia</w:t>
      </w:r>
      <w:r w:rsidRPr="0024196F">
        <w:rPr>
          <w:rFonts w:ascii="Times New Roman" w:hAnsi="Times New Roman" w:cs="Times New Roman"/>
          <w:sz w:val="28"/>
          <w:szCs w:val="24"/>
        </w:rPr>
        <w:t xml:space="preserve"> la Corte ha ritenuto: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left="1134" w:right="1416"/>
        <w:jc w:val="both"/>
        <w:rPr>
          <w:rFonts w:ascii="Times New Roman" w:hAnsi="Times New Roman" w:cs="Times New Roman"/>
          <w:sz w:val="24"/>
          <w:szCs w:val="24"/>
        </w:rPr>
      </w:pPr>
      <w:r w:rsidRPr="0024196F">
        <w:rPr>
          <w:rFonts w:ascii="Times New Roman" w:hAnsi="Times New Roman" w:cs="Times New Roman"/>
          <w:sz w:val="24"/>
          <w:szCs w:val="24"/>
        </w:rPr>
        <w:t xml:space="preserve">“58. Con riferimento allo spazio assegnato ad ogni detenuto, la Corte ha frequentemente evidenziato che, sebbene una superficie di 4 metri quadri per detenuto costituisca uno standard desiderabile, </w:t>
      </w:r>
      <w:r w:rsidRPr="0024196F">
        <w:rPr>
          <w:rFonts w:ascii="Times New Roman" w:hAnsi="Times New Roman" w:cs="Times New Roman"/>
          <w:i/>
          <w:sz w:val="24"/>
          <w:szCs w:val="24"/>
        </w:rPr>
        <w:t>l’offerta di una superficie inferiore a 3 metri quadri per detenuto porta ad un sovraffollamento tanto grave da giustificare di per sé il riscontro di una violazione dell’Articolo 3 della Convenzione</w:t>
      </w:r>
      <w:r w:rsidRPr="0024196F">
        <w:rPr>
          <w:rFonts w:ascii="Times New Roman" w:hAnsi="Times New Roman" w:cs="Times New Roman"/>
          <w:sz w:val="24"/>
          <w:szCs w:val="24"/>
        </w:rPr>
        <w:t xml:space="preserve"> (v. </w:t>
      </w:r>
      <w:proofErr w:type="spellStart"/>
      <w:r w:rsidRPr="0024196F">
        <w:rPr>
          <w:rFonts w:ascii="Times New Roman" w:hAnsi="Times New Roman" w:cs="Times New Roman"/>
          <w:i/>
          <w:sz w:val="24"/>
          <w:szCs w:val="24"/>
        </w:rPr>
        <w:t>Ananyev</w:t>
      </w:r>
      <w:proofErr w:type="spellEnd"/>
      <w:r w:rsidRPr="0024196F">
        <w:rPr>
          <w:rFonts w:ascii="Times New Roman" w:hAnsi="Times New Roman" w:cs="Times New Roman"/>
          <w:i/>
          <w:sz w:val="24"/>
          <w:szCs w:val="24"/>
        </w:rPr>
        <w:t xml:space="preserve"> ed altri c. Russia</w:t>
      </w:r>
      <w:r w:rsidRPr="0024196F">
        <w:rPr>
          <w:rFonts w:ascii="Times New Roman" w:hAnsi="Times New Roman" w:cs="Times New Roman"/>
          <w:sz w:val="24"/>
          <w:szCs w:val="24"/>
        </w:rPr>
        <w:t xml:space="preserve">, </w:t>
      </w:r>
      <w:proofErr w:type="spellStart"/>
      <w:r w:rsidRPr="0024196F">
        <w:rPr>
          <w:rFonts w:ascii="Times New Roman" w:hAnsi="Times New Roman" w:cs="Times New Roman"/>
          <w:sz w:val="24"/>
          <w:szCs w:val="24"/>
        </w:rPr>
        <w:t>nn</w:t>
      </w:r>
      <w:proofErr w:type="spellEnd"/>
      <w:r w:rsidRPr="0024196F">
        <w:rPr>
          <w:rFonts w:ascii="Times New Roman" w:hAnsi="Times New Roman" w:cs="Times New Roman"/>
          <w:sz w:val="24"/>
          <w:szCs w:val="24"/>
        </w:rPr>
        <w:t>. 42525/07 e 60800/08, § 145, 10 gennaio 2012, corsivo mio). Nel caso citato, la Corte ha riscontrato una violazione dell’Articolo 3 perché, fra l’altro, ai ricorrenti era concesso uno spazio personale inferiore ai 3 metri quadri ed era loro chiesto di restare dentro le celle per tutto il tempo, tranne che per un’ora al giorno di attività all’aperto (ibid., § 166).</w:t>
      </w:r>
    </w:p>
    <w:p w:rsidR="0017635F" w:rsidRPr="0024196F" w:rsidRDefault="0017635F" w:rsidP="0017635F">
      <w:pPr>
        <w:spacing w:after="0" w:line="240" w:lineRule="auto"/>
        <w:ind w:firstLine="360"/>
        <w:jc w:val="both"/>
        <w:rPr>
          <w:rFonts w:ascii="Times New Roman" w:hAnsi="Times New Roman" w:cs="Times New Roman"/>
          <w:sz w:val="32"/>
          <w:szCs w:val="24"/>
        </w:rPr>
      </w:pPr>
    </w:p>
    <w:p w:rsidR="0017635F" w:rsidRPr="0024196F" w:rsidRDefault="0017635F" w:rsidP="0017635F">
      <w:pPr>
        <w:spacing w:after="0" w:line="240" w:lineRule="auto"/>
        <w:ind w:left="1134" w:right="1416"/>
        <w:jc w:val="both"/>
        <w:rPr>
          <w:rFonts w:ascii="Times New Roman" w:hAnsi="Times New Roman" w:cs="Times New Roman"/>
          <w:sz w:val="24"/>
          <w:szCs w:val="24"/>
        </w:rPr>
      </w:pPr>
      <w:r w:rsidRPr="0024196F">
        <w:rPr>
          <w:rFonts w:ascii="Times New Roman" w:hAnsi="Times New Roman" w:cs="Times New Roman"/>
          <w:sz w:val="24"/>
          <w:szCs w:val="24"/>
        </w:rPr>
        <w:t xml:space="preserve">59. La Corte osserva che nel caso presente la ricorrente ha sostenuto che la sua cella, che ella condivideva con 15 / 20 altre detenute aveva una superficie di 12 metri quadri. Il Governo, da parte sua, affermava che la ricorrente era stata tenuta in una cella da 12 metri quadri con atre quattro detenute. Tuttavia, indipendentemente dalla precisa superficie della cella in cui la ricorrente trascorreva la maggior parte del giorno, lo spazio che le era assegnato secondo il Governo era inferiore alla superficie che, coerentemente con la giurisprudenza citata nella sentenza </w:t>
      </w:r>
      <w:proofErr w:type="spellStart"/>
      <w:r w:rsidRPr="0024196F">
        <w:rPr>
          <w:rFonts w:ascii="Times New Roman" w:hAnsi="Times New Roman" w:cs="Times New Roman"/>
          <w:i/>
          <w:sz w:val="24"/>
          <w:szCs w:val="24"/>
        </w:rPr>
        <w:t>Ananyev</w:t>
      </w:r>
      <w:proofErr w:type="spellEnd"/>
      <w:r w:rsidRPr="0024196F">
        <w:rPr>
          <w:rFonts w:ascii="Times New Roman" w:hAnsi="Times New Roman" w:cs="Times New Roman"/>
          <w:i/>
          <w:sz w:val="24"/>
          <w:szCs w:val="24"/>
        </w:rPr>
        <w:t xml:space="preserve"> ed altri</w:t>
      </w:r>
      <w:r w:rsidRPr="0024196F">
        <w:rPr>
          <w:rFonts w:ascii="Times New Roman" w:hAnsi="Times New Roman" w:cs="Times New Roman"/>
          <w:sz w:val="24"/>
          <w:szCs w:val="24"/>
        </w:rPr>
        <w:t xml:space="preserve"> (cit.), </w:t>
      </w:r>
      <w:r w:rsidRPr="0024196F">
        <w:rPr>
          <w:rFonts w:ascii="Times New Roman" w:hAnsi="Times New Roman" w:cs="Times New Roman"/>
          <w:i/>
          <w:sz w:val="24"/>
          <w:szCs w:val="24"/>
        </w:rPr>
        <w:t>è sufficiente di per sé a giustificare una violazione dell’Articolo 3</w:t>
      </w:r>
      <w:r w:rsidRPr="0024196F">
        <w:rPr>
          <w:rFonts w:ascii="Times New Roman" w:hAnsi="Times New Roman" w:cs="Times New Roman"/>
          <w:sz w:val="24"/>
          <w:szCs w:val="24"/>
        </w:rPr>
        <w:t>” (</w:t>
      </w:r>
      <w:proofErr w:type="spellStart"/>
      <w:r w:rsidRPr="0024196F">
        <w:rPr>
          <w:rFonts w:ascii="Times New Roman" w:hAnsi="Times New Roman" w:cs="Times New Roman"/>
          <w:i/>
          <w:sz w:val="24"/>
          <w:szCs w:val="24"/>
        </w:rPr>
        <w:t>Byglyashvili</w:t>
      </w:r>
      <w:proofErr w:type="spellEnd"/>
      <w:r w:rsidRPr="0024196F">
        <w:rPr>
          <w:rFonts w:ascii="Times New Roman" w:hAnsi="Times New Roman" w:cs="Times New Roman"/>
          <w:i/>
          <w:sz w:val="24"/>
          <w:szCs w:val="24"/>
        </w:rPr>
        <w:t xml:space="preserve"> c. Grecia</w:t>
      </w:r>
      <w:r w:rsidRPr="0024196F">
        <w:rPr>
          <w:rFonts w:ascii="Times New Roman" w:hAnsi="Times New Roman" w:cs="Times New Roman"/>
          <w:sz w:val="24"/>
          <w:szCs w:val="24"/>
        </w:rPr>
        <w:t xml:space="preserve">, §§ 58-59, 25 settembre 2012, corsivo mio; v. anche </w:t>
      </w:r>
      <w:proofErr w:type="spellStart"/>
      <w:r w:rsidRPr="0024196F">
        <w:rPr>
          <w:rFonts w:ascii="Times New Roman" w:hAnsi="Times New Roman" w:cs="Times New Roman"/>
          <w:i/>
          <w:sz w:val="24"/>
          <w:szCs w:val="24"/>
        </w:rPr>
        <w:t>Nieciecki</w:t>
      </w:r>
      <w:proofErr w:type="spellEnd"/>
      <w:r w:rsidRPr="0024196F">
        <w:rPr>
          <w:rFonts w:ascii="Times New Roman" w:hAnsi="Times New Roman" w:cs="Times New Roman"/>
          <w:i/>
          <w:sz w:val="24"/>
          <w:szCs w:val="24"/>
        </w:rPr>
        <w:t xml:space="preserve"> c. Grecia</w:t>
      </w:r>
      <w:r w:rsidRPr="0024196F">
        <w:rPr>
          <w:rFonts w:ascii="Times New Roman" w:hAnsi="Times New Roman" w:cs="Times New Roman"/>
          <w:sz w:val="24"/>
          <w:szCs w:val="24"/>
        </w:rPr>
        <w:t xml:space="preserve">, § 49, 4 dicembre 2012, ed ulteriori riferimenti)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4. Più di recente, e sulla stessa scia, la sentenza adottata in </w:t>
      </w:r>
      <w:proofErr w:type="spellStart"/>
      <w:r w:rsidRPr="0024196F">
        <w:rPr>
          <w:rFonts w:ascii="Times New Roman" w:hAnsi="Times New Roman" w:cs="Times New Roman"/>
          <w:i/>
          <w:sz w:val="28"/>
          <w:szCs w:val="24"/>
        </w:rPr>
        <w:t>Tereschenko</w:t>
      </w:r>
      <w:proofErr w:type="spellEnd"/>
      <w:r w:rsidRPr="0024196F">
        <w:rPr>
          <w:rFonts w:ascii="Times New Roman" w:hAnsi="Times New Roman" w:cs="Times New Roman"/>
          <w:i/>
          <w:sz w:val="28"/>
          <w:szCs w:val="24"/>
        </w:rPr>
        <w:t xml:space="preserve"> c. Russia</w:t>
      </w:r>
      <w:r w:rsidRPr="0024196F">
        <w:rPr>
          <w:rFonts w:ascii="Times New Roman" w:hAnsi="Times New Roman" w:cs="Times New Roman"/>
          <w:sz w:val="28"/>
          <w:szCs w:val="24"/>
        </w:rPr>
        <w:t xml:space="preserve"> ribadiva quanto segue: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left="1134" w:right="1416"/>
        <w:jc w:val="both"/>
        <w:rPr>
          <w:rFonts w:ascii="Times New Roman" w:hAnsi="Times New Roman" w:cs="Times New Roman"/>
          <w:sz w:val="24"/>
          <w:szCs w:val="24"/>
        </w:rPr>
      </w:pPr>
      <w:r w:rsidRPr="0024196F">
        <w:rPr>
          <w:rFonts w:ascii="Times New Roman" w:hAnsi="Times New Roman" w:cs="Times New Roman"/>
          <w:sz w:val="24"/>
          <w:szCs w:val="24"/>
        </w:rPr>
        <w:t xml:space="preserve">“84. La Corte ha riscontrato in molti casi precedenti che laddove i richiedenti avevano a disposizione una superficie inferiore ai tre metri quadri, il sovraffollamento era considerato così grave da giustificare </w:t>
      </w:r>
      <w:r w:rsidRPr="0024196F">
        <w:rPr>
          <w:rFonts w:ascii="Times New Roman" w:hAnsi="Times New Roman" w:cs="Times New Roman"/>
          <w:i/>
          <w:sz w:val="24"/>
          <w:szCs w:val="24"/>
        </w:rPr>
        <w:t>di per sé</w:t>
      </w:r>
      <w:r w:rsidRPr="0024196F">
        <w:rPr>
          <w:rFonts w:ascii="Times New Roman" w:hAnsi="Times New Roman" w:cs="Times New Roman"/>
          <w:sz w:val="24"/>
          <w:szCs w:val="24"/>
        </w:rPr>
        <w:t xml:space="preserve"> una violazione dell’Articolo 3 (v. </w:t>
      </w:r>
      <w:proofErr w:type="spellStart"/>
      <w:r w:rsidRPr="0024196F">
        <w:rPr>
          <w:rFonts w:ascii="Times New Roman" w:hAnsi="Times New Roman" w:cs="Times New Roman"/>
          <w:i/>
          <w:sz w:val="24"/>
          <w:szCs w:val="24"/>
        </w:rPr>
        <w:t>Lind</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xml:space="preserve">, n. 25664/05, § 59, 6 dicembre 2007; </w:t>
      </w:r>
      <w:proofErr w:type="spellStart"/>
      <w:r w:rsidRPr="0024196F">
        <w:rPr>
          <w:rFonts w:ascii="Times New Roman" w:hAnsi="Times New Roman" w:cs="Times New Roman"/>
          <w:i/>
          <w:sz w:val="24"/>
          <w:szCs w:val="24"/>
        </w:rPr>
        <w:t>Starokadomskiy</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xml:space="preserve">, n. 42239/02, § 43, 31 luglio 2008; e </w:t>
      </w:r>
      <w:proofErr w:type="spellStart"/>
      <w:r w:rsidRPr="0024196F">
        <w:rPr>
          <w:rFonts w:ascii="Times New Roman" w:hAnsi="Times New Roman" w:cs="Times New Roman"/>
          <w:i/>
          <w:sz w:val="24"/>
          <w:szCs w:val="24"/>
        </w:rPr>
        <w:t>Dmitriy</w:t>
      </w:r>
      <w:proofErr w:type="spellEnd"/>
      <w:r w:rsidRPr="0024196F">
        <w:rPr>
          <w:rFonts w:ascii="Times New Roman" w:hAnsi="Times New Roman" w:cs="Times New Roman"/>
          <w:i/>
          <w:sz w:val="24"/>
          <w:szCs w:val="24"/>
        </w:rPr>
        <w:t xml:space="preserve"> </w:t>
      </w:r>
      <w:proofErr w:type="spellStart"/>
      <w:r w:rsidRPr="0024196F">
        <w:rPr>
          <w:rFonts w:ascii="Times New Roman" w:hAnsi="Times New Roman" w:cs="Times New Roman"/>
          <w:i/>
          <w:sz w:val="24"/>
          <w:szCs w:val="24"/>
        </w:rPr>
        <w:t>Rozhin</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n. 4265/06, §§ 49 e 50, 23 ottobre 2012)” (</w:t>
      </w:r>
      <w:proofErr w:type="spellStart"/>
      <w:r w:rsidRPr="0024196F">
        <w:rPr>
          <w:rFonts w:ascii="Times New Roman" w:hAnsi="Times New Roman" w:cs="Times New Roman"/>
          <w:i/>
          <w:sz w:val="24"/>
          <w:szCs w:val="24"/>
        </w:rPr>
        <w:t>Tereshchenko</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5 giugno 2014, § 84, corsivo mio)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5. Altre carenze possono anche essere state citate nei casi relativi (v. ad esempio, </w:t>
      </w:r>
      <w:proofErr w:type="spellStart"/>
      <w:r w:rsidRPr="00CD3F8B">
        <w:rPr>
          <w:rFonts w:ascii="Times New Roman" w:hAnsi="Times New Roman" w:cs="Times New Roman"/>
          <w:sz w:val="28"/>
          <w:szCs w:val="24"/>
        </w:rPr>
        <w:t>Bygylashvili</w:t>
      </w:r>
      <w:proofErr w:type="spellEnd"/>
      <w:r w:rsidRPr="0024196F">
        <w:rPr>
          <w:rFonts w:ascii="Times New Roman" w:hAnsi="Times New Roman" w:cs="Times New Roman"/>
          <w:sz w:val="28"/>
          <w:szCs w:val="24"/>
        </w:rPr>
        <w:t>, cit., §§ 60-61). Ma queste sono enfatizzate semplicemente per corroborare il riscontro di una violazione. Costituiscono circostanze aggravanti. Il riferimento a tali fattori aggiuntivi non è inteso per mettere in dubbio o relativizzare il minimo indispensabile di 3 metri quadri.</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sz w:val="28"/>
          <w:szCs w:val="24"/>
        </w:rPr>
      </w:pPr>
      <w:r w:rsidRPr="0024196F">
        <w:rPr>
          <w:rFonts w:ascii="Times New Roman" w:hAnsi="Times New Roman" w:cs="Times New Roman"/>
          <w:sz w:val="28"/>
          <w:szCs w:val="24"/>
        </w:rPr>
        <w:t xml:space="preserve">iii. </w:t>
      </w:r>
      <w:r w:rsidRPr="0024196F">
        <w:rPr>
          <w:rFonts w:ascii="Times New Roman" w:hAnsi="Times New Roman" w:cs="Times New Roman"/>
          <w:i/>
          <w:sz w:val="24"/>
          <w:szCs w:val="24"/>
        </w:rPr>
        <w:t>Uno spazio personale inferiore a 4 metri quadri è una violazione di per sé</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6. Inoltre, vi è un altro gruppo di casi, cui non si fa riferimento nella sentenza, che hanno aderito strettamente alla prassi ed alle raccomandazioni del CPT, secondo le quali 4 metri quadri sarebbe lo spazio personale minimo assegnato ai detenuti, esclusa l’area occupata da qualunque impianto sanitario (v., ad esempio, le raccomandazioni del CPT riguardo alla Croazia, citate nel paragrafo 35 della sentenza). Tuttavia, anche qui le sentenze relative non sono formulate con le stesse parole. In alcune sentenze 4 metri quadri sembrano essere il minimo indispensabile. Meno di ciò basta di per sé per riscontrare una violazione dell’Articolo 3. Nel caso di </w:t>
      </w:r>
      <w:proofErr w:type="spellStart"/>
      <w:r w:rsidRPr="0024196F">
        <w:rPr>
          <w:rFonts w:ascii="Times New Roman" w:hAnsi="Times New Roman" w:cs="Times New Roman"/>
          <w:i/>
          <w:sz w:val="28"/>
          <w:szCs w:val="24"/>
        </w:rPr>
        <w:t>Apostu</w:t>
      </w:r>
      <w:proofErr w:type="spellEnd"/>
      <w:r w:rsidRPr="0024196F">
        <w:rPr>
          <w:rFonts w:ascii="Times New Roman" w:hAnsi="Times New Roman" w:cs="Times New Roman"/>
          <w:i/>
          <w:sz w:val="28"/>
          <w:szCs w:val="24"/>
        </w:rPr>
        <w:t xml:space="preserve"> c. Romania</w:t>
      </w:r>
      <w:r w:rsidRPr="0024196F">
        <w:rPr>
          <w:rFonts w:ascii="Times New Roman" w:hAnsi="Times New Roman" w:cs="Times New Roman"/>
          <w:sz w:val="28"/>
          <w:szCs w:val="24"/>
        </w:rPr>
        <w:t>, ad esempio, la Corte ritenne: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left="1134" w:right="1416" w:firstLine="1"/>
        <w:jc w:val="both"/>
        <w:rPr>
          <w:rFonts w:ascii="Times New Roman" w:hAnsi="Times New Roman" w:cs="Times New Roman"/>
          <w:sz w:val="28"/>
          <w:szCs w:val="24"/>
        </w:rPr>
      </w:pPr>
      <w:r w:rsidRPr="0024196F">
        <w:rPr>
          <w:rFonts w:ascii="Times New Roman" w:hAnsi="Times New Roman" w:cs="Times New Roman"/>
          <w:sz w:val="24"/>
          <w:szCs w:val="24"/>
        </w:rPr>
        <w:t xml:space="preserve">“Nei suoi precedenti casi, laddove i ricorrenti avevano meno di 4 metri quadri di spazio personale a disposizione, la Corte ha stabilito che il sovraffollamento era così grave da giustificare </w:t>
      </w:r>
      <w:r w:rsidRPr="0024196F">
        <w:rPr>
          <w:rFonts w:ascii="Times New Roman" w:hAnsi="Times New Roman" w:cs="Times New Roman"/>
          <w:i/>
          <w:sz w:val="24"/>
          <w:szCs w:val="24"/>
        </w:rPr>
        <w:t>di per sé</w:t>
      </w:r>
      <w:r w:rsidRPr="0024196F">
        <w:rPr>
          <w:rFonts w:ascii="Times New Roman" w:hAnsi="Times New Roman" w:cs="Times New Roman"/>
          <w:sz w:val="24"/>
          <w:szCs w:val="24"/>
        </w:rPr>
        <w:t xml:space="preserve"> un riscontro di violazione dell’Articolo 3” (</w:t>
      </w:r>
      <w:proofErr w:type="spellStart"/>
      <w:r w:rsidRPr="0024196F">
        <w:rPr>
          <w:rFonts w:ascii="Times New Roman" w:hAnsi="Times New Roman" w:cs="Times New Roman"/>
          <w:i/>
          <w:sz w:val="24"/>
          <w:szCs w:val="24"/>
        </w:rPr>
        <w:t>Apostu</w:t>
      </w:r>
      <w:proofErr w:type="spellEnd"/>
      <w:r w:rsidRPr="0024196F">
        <w:rPr>
          <w:rFonts w:ascii="Times New Roman" w:hAnsi="Times New Roman" w:cs="Times New Roman"/>
          <w:i/>
          <w:sz w:val="24"/>
          <w:szCs w:val="24"/>
        </w:rPr>
        <w:t xml:space="preserve"> c. Romania</w:t>
      </w:r>
      <w:r w:rsidRPr="0024196F">
        <w:rPr>
          <w:rFonts w:ascii="Times New Roman" w:hAnsi="Times New Roman" w:cs="Times New Roman"/>
          <w:sz w:val="24"/>
          <w:szCs w:val="24"/>
        </w:rPr>
        <w:t>, § 79, 3 febbraio 2015, con ulteriori riferimenti – corsivo mio)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i/>
          <w:sz w:val="28"/>
          <w:szCs w:val="24"/>
        </w:rPr>
      </w:pPr>
      <w:r w:rsidRPr="0024196F">
        <w:rPr>
          <w:rFonts w:ascii="Times New Roman" w:hAnsi="Times New Roman" w:cs="Times New Roman"/>
          <w:i/>
          <w:sz w:val="28"/>
          <w:szCs w:val="24"/>
        </w:rPr>
        <w:t xml:space="preserve">iv. </w:t>
      </w:r>
      <w:r w:rsidRPr="0024196F">
        <w:rPr>
          <w:rFonts w:ascii="Times New Roman" w:hAnsi="Times New Roman" w:cs="Times New Roman"/>
          <w:i/>
          <w:sz w:val="24"/>
          <w:szCs w:val="24"/>
        </w:rPr>
        <w:t>Uno spazio personale inferiore a 4 metri quadri crea la “forte presunzione” di una violazione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7. In altri casi del medesimo gruppo, la Corte sembra avere applicato l’approccio della “forte presunzione”, tenendo conto anche di altri aspetti nel concludere che vi era stata una violazione. Ad esempio, in </w:t>
      </w:r>
      <w:proofErr w:type="spellStart"/>
      <w:r w:rsidRPr="0024196F">
        <w:rPr>
          <w:rFonts w:ascii="Times New Roman" w:hAnsi="Times New Roman" w:cs="Times New Roman"/>
          <w:i/>
          <w:sz w:val="28"/>
          <w:szCs w:val="24"/>
        </w:rPr>
        <w:t>Tomoiaga</w:t>
      </w:r>
      <w:proofErr w:type="spellEnd"/>
      <w:r w:rsidRPr="0024196F">
        <w:rPr>
          <w:rFonts w:ascii="Times New Roman" w:hAnsi="Times New Roman" w:cs="Times New Roman"/>
          <w:i/>
          <w:sz w:val="28"/>
          <w:szCs w:val="24"/>
        </w:rPr>
        <w:t xml:space="preserve"> c. Romania</w:t>
      </w:r>
      <w:r w:rsidRPr="0024196F">
        <w:rPr>
          <w:rFonts w:ascii="Times New Roman" w:hAnsi="Times New Roman" w:cs="Times New Roman"/>
          <w:sz w:val="28"/>
          <w:szCs w:val="24"/>
        </w:rPr>
        <w:t>, la Corte ribadiva:</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left="1134" w:right="1416"/>
        <w:jc w:val="both"/>
        <w:rPr>
          <w:rFonts w:ascii="Times New Roman" w:hAnsi="Times New Roman" w:cs="Times New Roman"/>
          <w:sz w:val="24"/>
          <w:szCs w:val="24"/>
        </w:rPr>
      </w:pPr>
      <w:r w:rsidRPr="0024196F">
        <w:rPr>
          <w:rFonts w:ascii="Times New Roman" w:hAnsi="Times New Roman" w:cs="Times New Roman"/>
          <w:sz w:val="24"/>
          <w:szCs w:val="24"/>
        </w:rPr>
        <w:t xml:space="preserve">“ … i detenuti devono avere a disposizione almeno quattro metri quadri di spazio personale per non essere inferiori agli standard imposti dalla sua giurisprudenza (v. </w:t>
      </w:r>
      <w:proofErr w:type="spellStart"/>
      <w:r w:rsidRPr="0024196F">
        <w:rPr>
          <w:rFonts w:ascii="Times New Roman" w:hAnsi="Times New Roman" w:cs="Times New Roman"/>
          <w:i/>
          <w:sz w:val="24"/>
          <w:szCs w:val="24"/>
        </w:rPr>
        <w:t>Flămînzeanu</w:t>
      </w:r>
      <w:proofErr w:type="spellEnd"/>
      <w:r w:rsidRPr="0024196F">
        <w:rPr>
          <w:rFonts w:ascii="Times New Roman" w:hAnsi="Times New Roman" w:cs="Times New Roman"/>
          <w:i/>
          <w:sz w:val="24"/>
          <w:szCs w:val="24"/>
        </w:rPr>
        <w:t xml:space="preserve"> c. Romania</w:t>
      </w:r>
      <w:r w:rsidRPr="0024196F">
        <w:rPr>
          <w:rFonts w:ascii="Times New Roman" w:hAnsi="Times New Roman" w:cs="Times New Roman"/>
          <w:sz w:val="24"/>
          <w:szCs w:val="24"/>
        </w:rPr>
        <w:t xml:space="preserve">, n. 56664/08, §§ 92 and 98, 12 aprile 2011; e </w:t>
      </w:r>
      <w:proofErr w:type="spellStart"/>
      <w:r w:rsidRPr="0024196F">
        <w:rPr>
          <w:rFonts w:ascii="Times New Roman" w:hAnsi="Times New Roman" w:cs="Times New Roman"/>
          <w:i/>
          <w:sz w:val="24"/>
          <w:szCs w:val="24"/>
        </w:rPr>
        <w:t>Cotlet</w:t>
      </w:r>
      <w:proofErr w:type="spellEnd"/>
      <w:r w:rsidRPr="0024196F">
        <w:rPr>
          <w:rFonts w:ascii="Times New Roman" w:hAnsi="Times New Roman" w:cs="Times New Roman"/>
          <w:i/>
          <w:sz w:val="24"/>
          <w:szCs w:val="24"/>
        </w:rPr>
        <w:t xml:space="preserve"> c. Romania (n°2)</w:t>
      </w:r>
      <w:r w:rsidRPr="0024196F">
        <w:rPr>
          <w:rFonts w:ascii="Times New Roman" w:hAnsi="Times New Roman" w:cs="Times New Roman"/>
          <w:sz w:val="24"/>
          <w:szCs w:val="24"/>
        </w:rPr>
        <w:t xml:space="preserve">, n. 49549/11, § 34, 1 ottobre 2013). Nello stabilire se nelle specifiche circostanze il sovraffollamento fosse o meno abbastanza grave da giustificare di per sé il riscontro di una violazione dell’Articolo 3, si possono prendere in considerazione altri aspetti delle condizioni detentive materiali (v. ad esempio, </w:t>
      </w:r>
      <w:proofErr w:type="spellStart"/>
      <w:r w:rsidRPr="0024196F">
        <w:rPr>
          <w:rFonts w:ascii="Times New Roman" w:hAnsi="Times New Roman" w:cs="Times New Roman"/>
          <w:i/>
          <w:sz w:val="24"/>
          <w:szCs w:val="24"/>
        </w:rPr>
        <w:t>Lind</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xml:space="preserve">, n. 25664/05, §§ 59 e 61, 6 dicembre 2007; e </w:t>
      </w:r>
      <w:proofErr w:type="spellStart"/>
      <w:r w:rsidRPr="0024196F">
        <w:rPr>
          <w:rFonts w:ascii="Times New Roman" w:hAnsi="Times New Roman" w:cs="Times New Roman"/>
          <w:i/>
          <w:sz w:val="24"/>
          <w:szCs w:val="24"/>
        </w:rPr>
        <w:t>Kokoshkina</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xml:space="preserve">, n. 2052/08, § 62, 28 maggio 2009). Tali elementi comprendono la disponibilità di ventilazione, l’accesso alla luce naturale o all’aria, l’adeguatezza degli elementi di riscaldamento, il rispetto dei requisiti minimi sanitari e la possibilità di usare la toilette in privato (v. ad esempio, </w:t>
      </w:r>
      <w:proofErr w:type="spellStart"/>
      <w:r w:rsidRPr="0024196F">
        <w:rPr>
          <w:rFonts w:ascii="Times New Roman" w:hAnsi="Times New Roman" w:cs="Times New Roman"/>
          <w:i/>
          <w:sz w:val="24"/>
          <w:szCs w:val="24"/>
        </w:rPr>
        <w:t>Ostrovar</w:t>
      </w:r>
      <w:proofErr w:type="spellEnd"/>
      <w:r w:rsidRPr="0024196F">
        <w:rPr>
          <w:rFonts w:ascii="Times New Roman" w:hAnsi="Times New Roman" w:cs="Times New Roman"/>
          <w:i/>
          <w:sz w:val="24"/>
          <w:szCs w:val="24"/>
        </w:rPr>
        <w:t xml:space="preserve"> c. Moldova</w:t>
      </w:r>
      <w:r w:rsidRPr="0024196F">
        <w:rPr>
          <w:rFonts w:ascii="Times New Roman" w:hAnsi="Times New Roman" w:cs="Times New Roman"/>
          <w:sz w:val="24"/>
          <w:szCs w:val="24"/>
        </w:rPr>
        <w:t xml:space="preserve">, n. 35207/03, § 89, 13 settembre 2005; </w:t>
      </w:r>
      <w:proofErr w:type="spellStart"/>
      <w:r w:rsidRPr="0024196F">
        <w:rPr>
          <w:rFonts w:ascii="Times New Roman" w:hAnsi="Times New Roman" w:cs="Times New Roman"/>
          <w:i/>
          <w:sz w:val="24"/>
          <w:szCs w:val="24"/>
        </w:rPr>
        <w:t>Babushkin</w:t>
      </w:r>
      <w:proofErr w:type="spellEnd"/>
      <w:r w:rsidRPr="0024196F">
        <w:rPr>
          <w:rFonts w:ascii="Times New Roman" w:hAnsi="Times New Roman" w:cs="Times New Roman"/>
          <w:i/>
          <w:sz w:val="24"/>
          <w:szCs w:val="24"/>
        </w:rPr>
        <w:t xml:space="preserve"> c. Russia</w:t>
      </w:r>
      <w:r w:rsidRPr="0024196F">
        <w:rPr>
          <w:rFonts w:ascii="Times New Roman" w:hAnsi="Times New Roman" w:cs="Times New Roman"/>
          <w:sz w:val="24"/>
          <w:szCs w:val="24"/>
        </w:rPr>
        <w:t xml:space="preserve">, n. 67253/01, § 44, 18 ottobre 2007; e </w:t>
      </w:r>
      <w:proofErr w:type="spellStart"/>
      <w:r w:rsidRPr="0024196F">
        <w:rPr>
          <w:rFonts w:ascii="Times New Roman" w:hAnsi="Times New Roman" w:cs="Times New Roman"/>
          <w:i/>
          <w:sz w:val="24"/>
          <w:szCs w:val="24"/>
        </w:rPr>
        <w:t>Novikovc</w:t>
      </w:r>
      <w:proofErr w:type="spellEnd"/>
      <w:r w:rsidRPr="0024196F">
        <w:rPr>
          <w:rFonts w:ascii="Times New Roman" w:hAnsi="Times New Roman" w:cs="Times New Roman"/>
          <w:i/>
          <w:sz w:val="24"/>
          <w:szCs w:val="24"/>
        </w:rPr>
        <w:t>. Russia</w:t>
      </w:r>
      <w:r w:rsidRPr="0024196F">
        <w:rPr>
          <w:rFonts w:ascii="Times New Roman" w:hAnsi="Times New Roman" w:cs="Times New Roman"/>
          <w:sz w:val="24"/>
          <w:szCs w:val="24"/>
        </w:rPr>
        <w:t>(</w:t>
      </w:r>
      <w:proofErr w:type="spellStart"/>
      <w:r w:rsidRPr="0024196F">
        <w:rPr>
          <w:rFonts w:ascii="Times New Roman" w:hAnsi="Times New Roman" w:cs="Times New Roman"/>
          <w:sz w:val="24"/>
          <w:szCs w:val="24"/>
        </w:rPr>
        <w:t>dec</w:t>
      </w:r>
      <w:proofErr w:type="spellEnd"/>
      <w:r w:rsidRPr="0024196F">
        <w:rPr>
          <w:rFonts w:ascii="Times New Roman" w:hAnsi="Times New Roman" w:cs="Times New Roman"/>
          <w:sz w:val="24"/>
          <w:szCs w:val="24"/>
        </w:rPr>
        <w:t>.), n. 11303/12, § 33, 10 dicembre 2013)” (</w:t>
      </w:r>
      <w:proofErr w:type="spellStart"/>
      <w:r w:rsidRPr="0024196F">
        <w:rPr>
          <w:rFonts w:ascii="Times New Roman" w:hAnsi="Times New Roman" w:cs="Times New Roman"/>
          <w:i/>
          <w:sz w:val="24"/>
          <w:szCs w:val="24"/>
        </w:rPr>
        <w:t>Tomoiaga</w:t>
      </w:r>
      <w:proofErr w:type="spellEnd"/>
      <w:r w:rsidRPr="0024196F">
        <w:rPr>
          <w:rFonts w:ascii="Times New Roman" w:hAnsi="Times New Roman" w:cs="Times New Roman"/>
          <w:i/>
          <w:sz w:val="24"/>
          <w:szCs w:val="24"/>
        </w:rPr>
        <w:t xml:space="preserve"> c. Romania </w:t>
      </w:r>
      <w:r w:rsidRPr="0024196F">
        <w:rPr>
          <w:rFonts w:ascii="Times New Roman" w:hAnsi="Times New Roman" w:cs="Times New Roman"/>
          <w:sz w:val="24"/>
          <w:szCs w:val="24"/>
        </w:rPr>
        <w:t>(</w:t>
      </w:r>
      <w:proofErr w:type="spellStart"/>
      <w:r w:rsidRPr="0024196F">
        <w:rPr>
          <w:rFonts w:ascii="Times New Roman" w:hAnsi="Times New Roman" w:cs="Times New Roman"/>
          <w:sz w:val="24"/>
          <w:szCs w:val="24"/>
        </w:rPr>
        <w:t>dec</w:t>
      </w:r>
      <w:proofErr w:type="spellEnd"/>
      <w:r w:rsidRPr="0024196F">
        <w:rPr>
          <w:rFonts w:ascii="Times New Roman" w:hAnsi="Times New Roman" w:cs="Times New Roman"/>
          <w:sz w:val="24"/>
          <w:szCs w:val="24"/>
        </w:rPr>
        <w:t>.), § 22, 20 gennaio 2015).</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i/>
          <w:sz w:val="24"/>
          <w:szCs w:val="24"/>
        </w:rPr>
      </w:pPr>
      <w:r w:rsidRPr="0024196F">
        <w:rPr>
          <w:rFonts w:ascii="Times New Roman" w:hAnsi="Times New Roman" w:cs="Times New Roman"/>
          <w:i/>
          <w:sz w:val="24"/>
          <w:szCs w:val="24"/>
        </w:rPr>
        <w:t>v. 3 o 4 metri quadri? Minimo indispensabile o “forte presunzione”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8. Come è evidente dagli esempi ora citati, vi è una serie di approcci alla questione del minimo indispensabile di spazio personale che i detenuti dovrebbero avere a propria disposizione. L’approccio più flessibile o “minimalista” è quello applicato nella presente sentenza, secondo il quale persino i 3 metri quadri non dovrebbero essere considerati come un minimo indispensabile in ogni circostanza. L’approccio più esigente o “massimalista” è quello secondo il quale 4 metri quadri dovrebbero sempre essere visti come il minimo. Nel mezzo, ci sono gli altri due approcci citati poco fa. A prima vista, la differenza fra gli “estremi” (e, a maggior ragione, fra i due approcci “mediani”) può non sembrare così significativa. In realtà, tuttavia, è sufficiente consultare i fatti dei casi sopra citati ed altri casi pertinenti – o, più ampiamente, le statistiche sul sovraffollamento penitenziario messe recentemente a disposizione dal Consiglio d’Europa</w:t>
      </w:r>
      <w:r w:rsidRPr="0024196F">
        <w:rPr>
          <w:rStyle w:val="Rimandonotaapidipagina"/>
          <w:rFonts w:ascii="Times New Roman" w:hAnsi="Times New Roman" w:cs="Times New Roman"/>
          <w:sz w:val="28"/>
          <w:szCs w:val="24"/>
        </w:rPr>
        <w:footnoteReference w:id="1"/>
      </w:r>
      <w:r w:rsidRPr="0024196F">
        <w:rPr>
          <w:rFonts w:ascii="Times New Roman" w:hAnsi="Times New Roman" w:cs="Times New Roman"/>
          <w:sz w:val="28"/>
          <w:szCs w:val="24"/>
        </w:rPr>
        <w:t xml:space="preserve"> – al fine di comprendere che adottare l’uno o l’altro approccio può avere un impatto decisivo in un’ampia percentuale di casi relativi al sovraffollamento nelle carceri ed in altri centri detentivi d’Europa. Ciò è vero anche in relazione alla metodologia da adottare quando si applica l’approccio della “forte presunzione”.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pStyle w:val="Paragrafoelenco"/>
        <w:numPr>
          <w:ilvl w:val="0"/>
          <w:numId w:val="14"/>
        </w:numPr>
        <w:spacing w:after="0" w:line="240" w:lineRule="auto"/>
        <w:jc w:val="both"/>
        <w:rPr>
          <w:rFonts w:ascii="Times New Roman" w:hAnsi="Times New Roman" w:cs="Times New Roman"/>
          <w:b/>
          <w:sz w:val="28"/>
          <w:szCs w:val="24"/>
        </w:rPr>
      </w:pPr>
      <w:r w:rsidRPr="0024196F">
        <w:rPr>
          <w:rFonts w:ascii="Times New Roman" w:hAnsi="Times New Roman" w:cs="Times New Roman"/>
          <w:b/>
          <w:sz w:val="28"/>
          <w:szCs w:val="24"/>
        </w:rPr>
        <w:t>Applicazione dell’approccio della “forte presunzione”</w:t>
      </w:r>
    </w:p>
    <w:p w:rsidR="0017635F" w:rsidRPr="0024196F" w:rsidRDefault="0017635F" w:rsidP="0017635F">
      <w:pPr>
        <w:spacing w:after="0" w:line="240" w:lineRule="auto"/>
        <w:jc w:val="both"/>
        <w:rPr>
          <w:rFonts w:ascii="Times New Roman" w:hAnsi="Times New Roman" w:cs="Times New Roman"/>
          <w:i/>
          <w:sz w:val="24"/>
          <w:szCs w:val="24"/>
        </w:rPr>
      </w:pPr>
    </w:p>
    <w:p w:rsidR="0017635F" w:rsidRPr="0024196F" w:rsidRDefault="0017635F" w:rsidP="0017635F">
      <w:pPr>
        <w:pStyle w:val="Paragrafoelenco"/>
        <w:numPr>
          <w:ilvl w:val="0"/>
          <w:numId w:val="16"/>
        </w:numPr>
        <w:spacing w:after="0" w:line="240" w:lineRule="auto"/>
        <w:jc w:val="both"/>
        <w:rPr>
          <w:rFonts w:ascii="Times New Roman" w:hAnsi="Times New Roman" w:cs="Times New Roman"/>
          <w:i/>
          <w:sz w:val="24"/>
          <w:szCs w:val="24"/>
        </w:rPr>
      </w:pPr>
      <w:r w:rsidRPr="0024196F">
        <w:rPr>
          <w:rFonts w:ascii="Times New Roman" w:hAnsi="Times New Roman" w:cs="Times New Roman"/>
          <w:i/>
          <w:sz w:val="24"/>
          <w:szCs w:val="24"/>
        </w:rPr>
        <w:t>Una “forte presunzione” è una presunzione né semplice né inconfutabile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9. Il primo chiarimento da fare rispetto alla metodologia da applicare se si adotta l’approccio della “forte presunzione” (in relazione o ai 3 metri quadri o ai 4 metri quadri) riguarda il significato reale di questo termine. Per quanto posso comprendere, una tale presunzione non è né “semplice” né inconfutabile. Ciò significa non solo che l’onere della prova per confutare la presunzione grava sul Governo, ma anche che lo Stato convenuto deve presentare prove solide per controbilanciare l’estrema mancanza di spazio nelle specifiche circostanze del caso ed in relazione al ricorrente specifico. Inoltre, deve esservi una solida base di fatti rispetto ai principali elementi pertinenti.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i/>
          <w:sz w:val="24"/>
          <w:szCs w:val="24"/>
        </w:rPr>
      </w:pPr>
      <w:r w:rsidRPr="0024196F">
        <w:rPr>
          <w:rFonts w:ascii="Times New Roman" w:hAnsi="Times New Roman" w:cs="Times New Roman"/>
          <w:i/>
          <w:sz w:val="24"/>
          <w:szCs w:val="24"/>
        </w:rPr>
        <w:t>ii. Una “forte presunzione” ha bisogno di una solida base di fatti per essere confutata</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10. A mio parere, tale base è presente quando: (a) il ricorrente non contesta i fatti rilevanti (tutti o alcuni di essi) – compreso lo spazio a lui assegnato ed i periodi nei quali gli è stato garantito meno del minimo richiesto (sia esso 3 o 4 metri quadri) – o (b) i fatti presentati dal Governo sono stati stabiliti oltre ogni ragionevole dubbio da un tribunale nazionale indipendente ed imparziale o da altra autorità competente, come un Garante, o da un ente esperto internazionale, ed in particolare dal CPT. Se i fatti pertinenti sono contestati con persistenza dal ricorrente e non vi è una valutazione indipendente della situazione, sembra discutibile derogare dalla presunzione. In altre parole, quando la parola del ricorrente è contrapposta alla parola dello Stato, a meno che la prima sia manifestamente non sostanziata o contraddittoria, le presunzione deve permanere.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i/>
          <w:sz w:val="24"/>
          <w:szCs w:val="24"/>
        </w:rPr>
      </w:pPr>
      <w:r w:rsidRPr="0024196F">
        <w:rPr>
          <w:rFonts w:ascii="Times New Roman" w:hAnsi="Times New Roman" w:cs="Times New Roman"/>
          <w:i/>
          <w:sz w:val="24"/>
          <w:szCs w:val="24"/>
        </w:rPr>
        <w:t xml:space="preserve">iii. Una “forte presunzione” ha bisogno di forti fattori di </w:t>
      </w:r>
      <w:proofErr w:type="spellStart"/>
      <w:r w:rsidRPr="0024196F">
        <w:rPr>
          <w:rFonts w:ascii="Times New Roman" w:hAnsi="Times New Roman" w:cs="Times New Roman"/>
          <w:i/>
          <w:sz w:val="24"/>
          <w:szCs w:val="24"/>
        </w:rPr>
        <w:t>controbilanciamento</w:t>
      </w:r>
      <w:proofErr w:type="spellEnd"/>
      <w:r w:rsidRPr="0024196F">
        <w:rPr>
          <w:rFonts w:ascii="Times New Roman" w:hAnsi="Times New Roman" w:cs="Times New Roman"/>
          <w:i/>
          <w:sz w:val="24"/>
          <w:szCs w:val="24"/>
        </w:rPr>
        <w:t xml:space="preserve"> per essere confutata</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11. La presente sentenza riafferma la giurisprudenza della Corte a dimostrazione del fatto che quando lo spazio assegnato al detenuto è leggermente al di sopra del minimo indispensabile – “nell’ordine fra i tre ed i quattro metri quadri per detenuto” – si riscontra una violazione dell’Articolo 3 solo “se il fattore spazio si associa ad altri aspetti di inadeguate condizioni detentive materiali relative, in particolare, all’accesso alle attività all’aria aperta, alla luce naturale o all’aria, alla disponibilità di ventilazione, all’adeguatezza degli elementi per il riscaldamento, alla possibilità di usare la toilette in modo riservato ed al rispetto dei requisiti minimi sanitari ed igienici” (v. paragrafo 57, con ulteriori riferimenti). Come appare chiaro da tale formulazione, tutti gli aspetti sopra descritti sono considerati come un minimo indispensabile quando lo spazio concesso al ricorrente è </w:t>
      </w:r>
      <w:r w:rsidRPr="00CD3F8B">
        <w:rPr>
          <w:rFonts w:ascii="Times New Roman" w:hAnsi="Times New Roman" w:cs="Times New Roman"/>
          <w:sz w:val="28"/>
          <w:szCs w:val="24"/>
        </w:rPr>
        <w:t>superiore</w:t>
      </w:r>
      <w:r w:rsidRPr="0024196F">
        <w:rPr>
          <w:rFonts w:ascii="Times New Roman" w:hAnsi="Times New Roman" w:cs="Times New Roman"/>
          <w:sz w:val="28"/>
          <w:szCs w:val="24"/>
        </w:rPr>
        <w:t xml:space="preserve"> ai necessari 3 (o 4) metri quadri. Se tali condizioni elementari non sono soddisfatte, vi può essere una violazione dell’Articolo 3 anche se lo spazio assegnato al ricorrente è sufficiente.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12. La questione è cosa succede quando lo spazio è </w:t>
      </w:r>
      <w:r w:rsidRPr="00CD3F8B">
        <w:rPr>
          <w:rFonts w:ascii="Times New Roman" w:hAnsi="Times New Roman" w:cs="Times New Roman"/>
          <w:sz w:val="28"/>
          <w:szCs w:val="24"/>
        </w:rPr>
        <w:t>inferiore</w:t>
      </w:r>
      <w:r w:rsidRPr="0024196F">
        <w:rPr>
          <w:rFonts w:ascii="Times New Roman" w:hAnsi="Times New Roman" w:cs="Times New Roman"/>
          <w:sz w:val="28"/>
          <w:szCs w:val="24"/>
        </w:rPr>
        <w:t xml:space="preserve"> allo standard stabilito. La presenza degli stessi aspetti è sufficiente a confutare la “forte presunzione” di incompatibilità con l’Articolo 3? O lo Stato deve appoggiarsi su ulteriori fattori di </w:t>
      </w:r>
      <w:proofErr w:type="spellStart"/>
      <w:r w:rsidRPr="0024196F">
        <w:rPr>
          <w:rFonts w:ascii="Times New Roman" w:hAnsi="Times New Roman" w:cs="Times New Roman"/>
          <w:sz w:val="28"/>
          <w:szCs w:val="24"/>
        </w:rPr>
        <w:t>controbilanciamento</w:t>
      </w:r>
      <w:proofErr w:type="spellEnd"/>
      <w:r w:rsidRPr="0024196F">
        <w:rPr>
          <w:rFonts w:ascii="Times New Roman" w:hAnsi="Times New Roman" w:cs="Times New Roman"/>
          <w:sz w:val="28"/>
          <w:szCs w:val="24"/>
        </w:rPr>
        <w:t>? Mentre da un lato è vero che la valutazione della soglia dell’Articolo 3 è relativa, io ritengo che almeno un’offerta di cibo adeguato, così come un programma di attività, fra cui opportunità di lavoro e di formazione professionale – come raccomandato alla Croazia dal CPT nel suo ultimo rapporto (cit. nel paragrafo 35 della sentenza) – devono essere altresì necessari perché la Corte accetti che la “forte presunzione” sia stata confutata. Inoltre, gli elementi su cui il Governo si basa devono essere rilevanti per il ricorrente e non meramente opportunità o possibilità astratte.</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i/>
          <w:sz w:val="28"/>
          <w:szCs w:val="24"/>
        </w:rPr>
      </w:pPr>
      <w:r w:rsidRPr="0024196F">
        <w:rPr>
          <w:rFonts w:ascii="Times New Roman" w:hAnsi="Times New Roman" w:cs="Times New Roman"/>
          <w:i/>
          <w:sz w:val="24"/>
          <w:szCs w:val="24"/>
        </w:rPr>
        <w:t>iv. La mancanza di spazio personale non deve essere evidente o protratta nel tempo</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13. La sentenza fa riferimento alla precedente giurisprudenza della Corte a dimostrazione del fatto che la “forte presunzione” della violazione dell’Articolo 3 può “difficilmente” essere confutata “nel contesto di un’evidente mancanza di spazio personale” (v. paragrafo 56, con ulteriori riferimenti). Ciononostante, il termine “difficilmente” non compare in almeno una delle sentenze citate nel paragrafo 56 della presente sentenza (v., ad esempio, </w:t>
      </w:r>
      <w:proofErr w:type="spellStart"/>
      <w:r w:rsidRPr="0024196F">
        <w:rPr>
          <w:rFonts w:ascii="Times New Roman" w:hAnsi="Times New Roman" w:cs="Times New Roman"/>
          <w:i/>
          <w:sz w:val="28"/>
          <w:szCs w:val="24"/>
        </w:rPr>
        <w:t>Logothetis</w:t>
      </w:r>
      <w:proofErr w:type="spellEnd"/>
      <w:r w:rsidRPr="0024196F">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n. 740/13, § 41, 25 settembre 2014) e mi sembra discutibile perché crea incertezza e lascia la porta aperta ad abusi. Mettiamola più chiaramente: se una “forte presunzione” deve avere un significato reale, una mancanza evidente di spazio personale – cioè significativamente al di sotto del minimo indispensabile – non deve essere accettata in nessuna circostanza.</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14. La Sentenza ribadisce ancora che la “forte presunzione” potrebbe eventualmente essere confutata “nel caso di brevi ed occasionali minime riduzioni dello spazio personale necessario” (v. paragrafo56, con riferimento a </w:t>
      </w:r>
      <w:r w:rsidRPr="0024196F">
        <w:rPr>
          <w:rFonts w:ascii="Times New Roman" w:hAnsi="Times New Roman" w:cs="Times New Roman"/>
          <w:i/>
          <w:sz w:val="28"/>
          <w:szCs w:val="24"/>
        </w:rPr>
        <w:t xml:space="preserve">Vladimir </w:t>
      </w:r>
      <w:proofErr w:type="spellStart"/>
      <w:r w:rsidRPr="0024196F">
        <w:rPr>
          <w:rFonts w:ascii="Times New Roman" w:hAnsi="Times New Roman" w:cs="Times New Roman"/>
          <w:i/>
          <w:sz w:val="28"/>
          <w:szCs w:val="24"/>
        </w:rPr>
        <w:t>Belyayev</w:t>
      </w:r>
      <w:proofErr w:type="spellEnd"/>
      <w:r w:rsidRPr="0024196F">
        <w:rPr>
          <w:rFonts w:ascii="Times New Roman" w:hAnsi="Times New Roman" w:cs="Times New Roman"/>
          <w:i/>
          <w:sz w:val="28"/>
          <w:szCs w:val="24"/>
        </w:rPr>
        <w:t xml:space="preserve"> c. Russia</w:t>
      </w:r>
      <w:r w:rsidRPr="0024196F">
        <w:rPr>
          <w:rFonts w:ascii="Times New Roman" w:hAnsi="Times New Roman" w:cs="Times New Roman"/>
          <w:sz w:val="28"/>
          <w:szCs w:val="24"/>
        </w:rPr>
        <w:t>, n. 9967/06, §§ 33-36, 17 ottobre 2013).</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17635F">
      <w:pPr>
        <w:spacing w:after="0" w:line="240" w:lineRule="auto"/>
        <w:jc w:val="center"/>
        <w:rPr>
          <w:rFonts w:ascii="Times New Roman" w:hAnsi="Times New Roman" w:cs="Times New Roman"/>
          <w:i/>
          <w:sz w:val="28"/>
          <w:szCs w:val="24"/>
        </w:rPr>
      </w:pPr>
      <w:r w:rsidRPr="0024196F">
        <w:rPr>
          <w:rFonts w:ascii="Times New Roman" w:hAnsi="Times New Roman" w:cs="Times New Roman"/>
          <w:i/>
          <w:sz w:val="24"/>
          <w:szCs w:val="24"/>
        </w:rPr>
        <w:t>v. Applicazione dei principi suddetti nel caso presente</w:t>
      </w:r>
    </w:p>
    <w:p w:rsidR="0017635F" w:rsidRPr="0024196F" w:rsidRDefault="0017635F" w:rsidP="0017635F">
      <w:pPr>
        <w:spacing w:after="0" w:line="240" w:lineRule="auto"/>
        <w:jc w:val="both"/>
        <w:rPr>
          <w:rFonts w:ascii="Times New Roman" w:hAnsi="Times New Roman" w:cs="Times New Roman"/>
          <w:sz w:val="28"/>
          <w:szCs w:val="24"/>
        </w:rPr>
      </w:pP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15. Sono presenti tutti gli elementi suddetti nel presente caso? Non credo. Innanzitutto, e contrariamente al solo altro caso in cui la “forte presunzione” è stata confutata (v. </w:t>
      </w:r>
      <w:r w:rsidRPr="00891AC9">
        <w:rPr>
          <w:rFonts w:ascii="Times New Roman" w:hAnsi="Times New Roman" w:cs="Times New Roman"/>
          <w:i/>
          <w:sz w:val="28"/>
          <w:szCs w:val="24"/>
        </w:rPr>
        <w:t xml:space="preserve">Vladimir </w:t>
      </w:r>
      <w:proofErr w:type="spellStart"/>
      <w:r w:rsidRPr="00891AC9">
        <w:rPr>
          <w:rFonts w:ascii="Times New Roman" w:hAnsi="Times New Roman" w:cs="Times New Roman"/>
          <w:i/>
          <w:sz w:val="28"/>
          <w:szCs w:val="24"/>
        </w:rPr>
        <w:t>Belyayev</w:t>
      </w:r>
      <w:proofErr w:type="spellEnd"/>
      <w:r w:rsidRPr="0024196F">
        <w:rPr>
          <w:rFonts w:ascii="Times New Roman" w:hAnsi="Times New Roman" w:cs="Times New Roman"/>
          <w:sz w:val="28"/>
          <w:szCs w:val="24"/>
        </w:rPr>
        <w:t xml:space="preserve">, cit. §§ 32-33), i fatti rilevanti non sono stabiliti al di là del ragionevole dubbio. Sia lo spazio assegnato al ricorrente sia altri fattori relativi, compresa la durata della sua detenzione in condizioni al di sotto degli standard, sono stati messi in discussione dal ricorrente e non è disponibile nessuna valutazione indipendente.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16. Anche se si presume che le informazioni fornite dal Governo in relazione alla durata della detenzione del ricorrente in celle in cui gli erano assegnati meno di 3 metri quadri siano corrette, tale durata ammonta a cinquanta giorni in totale, compreso un periodo di ventisette giorni consecutivi (v. paragrafo 60 della sentenza). A mio parere, tale durata può difficilmente essere definita come “breve e sporadica”.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17. Inoltre, come si afferma nel paragrafo 66 della sentenza, la Corte ha preso nota delle fotografie che mostrano gli interni del carcere di </w:t>
      </w:r>
      <w:proofErr w:type="spellStart"/>
      <w:r w:rsidRPr="0024196F">
        <w:rPr>
          <w:rFonts w:ascii="Times New Roman" w:hAnsi="Times New Roman" w:cs="Times New Roman"/>
          <w:sz w:val="28"/>
          <w:szCs w:val="24"/>
        </w:rPr>
        <w:t>Bjelovar</w:t>
      </w:r>
      <w:proofErr w:type="spellEnd"/>
      <w:r w:rsidRPr="0024196F">
        <w:rPr>
          <w:rFonts w:ascii="Times New Roman" w:hAnsi="Times New Roman" w:cs="Times New Roman"/>
          <w:sz w:val="28"/>
          <w:szCs w:val="24"/>
        </w:rPr>
        <w:t xml:space="preserve">, il cortile dei passeggi, le celle dormitorio e le relative strutture sanitarie, “che non appaiono essere in spaventoso stato di conservazione o di pulizia”. La mancanza di “spaventose” condizioni sanitarie ed igieniche è lo standard opportuno per accettare che la “forte presunzione” possa essere confutata in un dato caso? Preferirei un riscontro positivo – che a quanto sembra non era possibile nel caso presente – a dimostrazione del fatto che le condizioni igieniche e sanitarie fossero adeguate per tutta la durata della detenzione. </w:t>
      </w:r>
    </w:p>
    <w:p w:rsidR="0017635F" w:rsidRPr="0024196F" w:rsidRDefault="0017635F" w:rsidP="00CD3F8B">
      <w:pPr>
        <w:tabs>
          <w:tab w:val="left" w:pos="993"/>
        </w:tabs>
        <w:spacing w:after="12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18. Vi sono (solo) due elementi fattuali che non sembrano oggetto di contenzioso fra le parti. Il primo riguarda le osservazioni del Governo sul fatto che al ricorrente erano concesse tre ore al giorno, fra le 16 e le 19, per muoversi liberamente al di fuori della sua cella. Ciò significa che il ricorrente era ristretto in cella per tutto il resto del giorno – cioè per ventuno ore. Ciò è sufficiente per confutare una “forte presunzione”? Si dovrebbe notare, a tal riguardo, che in numerosi rapporti il CPT ha criticato gli Stati per il fatto di tenere i detenuti ristretti nelle celle per più di venti ore (si veda ad esempio l’ultimo rapporto sulla Croazia, cit., § 39, relativamente ai detenuti appellanti e ricorrenti negli istituti di Zagabria e della Contea di Sisak).</w:t>
      </w: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19. Il secondo elemento fattuale che sembra non essere in discussione è che il ricorrente non ha potuto impegnarsi in attività lavorative. Tuttavia, la maggioranza ha riscontrato che “ciò non può, nel presente caso, sollevare una questione ai sensi dell’Articolo 3 della Convenzione” (v. il paragrafo 67 della sentenza). Rispettosamente, non concordo con tale affermazione. Come il CPT ha (ripetutamente) sottolineato in termini generali:</w:t>
      </w:r>
    </w:p>
    <w:p w:rsidR="0017635F" w:rsidRPr="0024196F" w:rsidRDefault="0017635F" w:rsidP="0017635F">
      <w:pPr>
        <w:spacing w:before="120" w:after="0" w:line="240" w:lineRule="auto"/>
        <w:ind w:left="1134" w:right="1134"/>
        <w:jc w:val="both"/>
        <w:rPr>
          <w:rFonts w:ascii="Times New Roman" w:hAnsi="Times New Roman" w:cs="Times New Roman"/>
          <w:sz w:val="24"/>
          <w:szCs w:val="24"/>
        </w:rPr>
      </w:pPr>
      <w:r w:rsidRPr="0024196F">
        <w:rPr>
          <w:rFonts w:ascii="Times New Roman" w:hAnsi="Times New Roman" w:cs="Times New Roman"/>
          <w:sz w:val="24"/>
          <w:szCs w:val="24"/>
        </w:rPr>
        <w:t xml:space="preserve">“un soddisfacente programma di attività (quali il lavoro, la formazione professionale, l’istruzione, le attività ricreative e sportive comuni) è di vitale importanza per il benessere dei detenuti. Ciò è vero sia per i detenuti condannati che per gli imputati. L’obiettivo deve essere di fare in modo che i detenuti in attesa di sentenza definitiva siano in grado di trascorrere una parte ragionevole della giornata al di fuori delle celle, impegnati in attività significative di varia natura. I regimi per i condannati dovrebbero essere ancor più favorevoli allo scopo di prepararli per il reinserimento nella società (v., ad esempio, il rapporto sulla Croazia, cit., § 40). </w:t>
      </w:r>
    </w:p>
    <w:p w:rsidR="0017635F" w:rsidRPr="0024196F" w:rsidRDefault="0017635F" w:rsidP="0017635F">
      <w:pPr>
        <w:spacing w:after="0" w:line="240" w:lineRule="auto"/>
        <w:ind w:firstLine="360"/>
        <w:jc w:val="both"/>
        <w:rPr>
          <w:rFonts w:ascii="Times New Roman" w:hAnsi="Times New Roman" w:cs="Times New Roman"/>
          <w:sz w:val="28"/>
          <w:szCs w:val="24"/>
        </w:rPr>
      </w:pP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20. I riscontri ora citati sono ancor più basilari nei casi,</w:t>
      </w:r>
      <w:r w:rsidR="00010089">
        <w:rPr>
          <w:rFonts w:ascii="Times New Roman" w:hAnsi="Times New Roman" w:cs="Times New Roman"/>
          <w:sz w:val="28"/>
          <w:szCs w:val="24"/>
        </w:rPr>
        <w:t xml:space="preserve"> </w:t>
      </w:r>
      <w:r w:rsidRPr="0024196F">
        <w:rPr>
          <w:rFonts w:ascii="Times New Roman" w:hAnsi="Times New Roman" w:cs="Times New Roman"/>
          <w:sz w:val="28"/>
          <w:szCs w:val="24"/>
        </w:rPr>
        <w:t xml:space="preserve">come quello presente, in cui la Corte esamina se vi siano sufficienti fattori di </w:t>
      </w:r>
      <w:proofErr w:type="spellStart"/>
      <w:r w:rsidRPr="0024196F">
        <w:rPr>
          <w:rFonts w:ascii="Times New Roman" w:hAnsi="Times New Roman" w:cs="Times New Roman"/>
          <w:sz w:val="28"/>
          <w:szCs w:val="24"/>
        </w:rPr>
        <w:t>controbilanciamento</w:t>
      </w:r>
      <w:proofErr w:type="spellEnd"/>
      <w:r w:rsidRPr="0024196F">
        <w:rPr>
          <w:rFonts w:ascii="Times New Roman" w:hAnsi="Times New Roman" w:cs="Times New Roman"/>
          <w:sz w:val="28"/>
          <w:szCs w:val="24"/>
        </w:rPr>
        <w:t xml:space="preserve"> per confutare una “forte presunzione” di una violazione dell’Articolo 3 a causa di una estrema mancanza di spazio nelle celle. È esattamente in tali situazioni che il lavoro ed altre attività al di fuori degli spazi sovraffollati diventano particolarmente importanti. È per questa ragione che in </w:t>
      </w:r>
      <w:proofErr w:type="spellStart"/>
      <w:r w:rsidRPr="0024196F">
        <w:rPr>
          <w:rFonts w:ascii="Times New Roman" w:hAnsi="Times New Roman" w:cs="Times New Roman"/>
          <w:i/>
          <w:sz w:val="28"/>
          <w:szCs w:val="24"/>
        </w:rPr>
        <w:t>Samaras</w:t>
      </w:r>
      <w:proofErr w:type="spellEnd"/>
      <w:r w:rsidRPr="0024196F">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ad esempio, la Corte – pur rilevando una violazione dell’Articolo 3, specialmente a causa del sovraffollamento – ha preso in considerazione il fatto che alcuni dei ricorrenti lavoravano al di fuori delle celle per parte della giornata, nel determinare l’adeguata somma da concedere per equo indennizzo ai sensi dell’Articolo 41 della Convenzione (</w:t>
      </w:r>
      <w:proofErr w:type="spellStart"/>
      <w:r w:rsidRPr="0024196F">
        <w:rPr>
          <w:rFonts w:ascii="Times New Roman" w:hAnsi="Times New Roman" w:cs="Times New Roman"/>
          <w:i/>
          <w:sz w:val="28"/>
          <w:szCs w:val="24"/>
        </w:rPr>
        <w:t>Samaras</w:t>
      </w:r>
      <w:proofErr w:type="spellEnd"/>
      <w:r w:rsidRPr="0024196F">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xml:space="preserve">, § 71, 28 febbraio 2012; v. anche </w:t>
      </w:r>
      <w:proofErr w:type="spellStart"/>
      <w:r w:rsidRPr="0024196F">
        <w:rPr>
          <w:rFonts w:ascii="Times New Roman" w:hAnsi="Times New Roman" w:cs="Times New Roman"/>
          <w:i/>
          <w:sz w:val="28"/>
          <w:szCs w:val="24"/>
        </w:rPr>
        <w:t>Tzamalis</w:t>
      </w:r>
      <w:proofErr w:type="spellEnd"/>
      <w:r w:rsidRPr="0024196F">
        <w:rPr>
          <w:rFonts w:ascii="Times New Roman" w:hAnsi="Times New Roman" w:cs="Times New Roman"/>
          <w:i/>
          <w:sz w:val="28"/>
          <w:szCs w:val="24"/>
        </w:rPr>
        <w:t xml:space="preserve"> ed Altri c. Grecia</w:t>
      </w:r>
      <w:r w:rsidRPr="0024196F">
        <w:rPr>
          <w:rFonts w:ascii="Times New Roman" w:hAnsi="Times New Roman" w:cs="Times New Roman"/>
          <w:sz w:val="28"/>
          <w:szCs w:val="24"/>
        </w:rPr>
        <w:t xml:space="preserve">, § 49, 4 dicembre 2012). </w:t>
      </w:r>
    </w:p>
    <w:p w:rsidR="0017635F" w:rsidRPr="0024196F" w:rsidRDefault="0017635F" w:rsidP="0017635F">
      <w:pPr>
        <w:spacing w:after="0" w:line="240" w:lineRule="auto"/>
        <w:jc w:val="both"/>
        <w:rPr>
          <w:rFonts w:ascii="Times New Roman" w:hAnsi="Times New Roman" w:cs="Times New Roman"/>
          <w:sz w:val="28"/>
          <w:szCs w:val="24"/>
        </w:rPr>
      </w:pPr>
    </w:p>
    <w:p w:rsidR="0017635F" w:rsidRPr="0024196F" w:rsidRDefault="0017635F" w:rsidP="0017635F">
      <w:pPr>
        <w:spacing w:after="0" w:line="240" w:lineRule="auto"/>
        <w:ind w:firstLine="360"/>
        <w:jc w:val="both"/>
        <w:rPr>
          <w:rFonts w:ascii="Times New Roman" w:hAnsi="Times New Roman" w:cs="Times New Roman"/>
          <w:i/>
          <w:sz w:val="28"/>
          <w:szCs w:val="24"/>
        </w:rPr>
      </w:pPr>
      <w:r w:rsidRPr="0024196F">
        <w:rPr>
          <w:rFonts w:ascii="Times New Roman" w:hAnsi="Times New Roman" w:cs="Times New Roman"/>
          <w:i/>
          <w:sz w:val="28"/>
          <w:szCs w:val="24"/>
        </w:rPr>
        <w:t>Conclusioni</w:t>
      </w:r>
    </w:p>
    <w:p w:rsidR="0017635F" w:rsidRPr="0024196F" w:rsidRDefault="0017635F" w:rsidP="0017635F">
      <w:pPr>
        <w:spacing w:after="0" w:line="240" w:lineRule="auto"/>
        <w:jc w:val="both"/>
        <w:rPr>
          <w:rFonts w:ascii="Times New Roman" w:hAnsi="Times New Roman" w:cs="Times New Roman"/>
          <w:sz w:val="28"/>
          <w:szCs w:val="24"/>
        </w:rPr>
      </w:pPr>
    </w:p>
    <w:p w:rsidR="0017635F" w:rsidRPr="0024196F" w:rsidRDefault="0017635F" w:rsidP="00891AC9">
      <w:pPr>
        <w:tabs>
          <w:tab w:val="left" w:pos="993"/>
        </w:tabs>
        <w:spacing w:after="0" w:line="240" w:lineRule="auto"/>
        <w:ind w:left="284" w:firstLine="142"/>
        <w:jc w:val="both"/>
        <w:rPr>
          <w:rFonts w:ascii="Times New Roman" w:hAnsi="Times New Roman" w:cs="Times New Roman"/>
          <w:sz w:val="28"/>
          <w:szCs w:val="24"/>
        </w:rPr>
      </w:pPr>
      <w:r w:rsidRPr="0024196F">
        <w:rPr>
          <w:rFonts w:ascii="Times New Roman" w:hAnsi="Times New Roman" w:cs="Times New Roman"/>
          <w:sz w:val="28"/>
          <w:szCs w:val="24"/>
        </w:rPr>
        <w:t xml:space="preserve">21. Sulla base di tutte le considerazioni ora esposte, la mia conclusione è che anche se si accetta l’approccio della “forte presunzione” in relazione allo spazio minimo di 3 metri quadri per detenuto, non vi sono fattori di </w:t>
      </w:r>
      <w:proofErr w:type="spellStart"/>
      <w:r w:rsidRPr="0024196F">
        <w:rPr>
          <w:rFonts w:ascii="Times New Roman" w:hAnsi="Times New Roman" w:cs="Times New Roman"/>
          <w:sz w:val="28"/>
          <w:szCs w:val="24"/>
        </w:rPr>
        <w:t>controbilanciamento</w:t>
      </w:r>
      <w:proofErr w:type="spellEnd"/>
      <w:r w:rsidRPr="0024196F">
        <w:rPr>
          <w:rFonts w:ascii="Times New Roman" w:hAnsi="Times New Roman" w:cs="Times New Roman"/>
          <w:sz w:val="28"/>
          <w:szCs w:val="24"/>
        </w:rPr>
        <w:t xml:space="preserve"> sufficienti nel presente caso per confutare una tale presunzione. Più in generale, tuttavia, dati i diversi approcci delineati poco fa rispetto al minimo spazio da assegnare ai detenuti, ed anche la mancanza di una chiara metodologia per l’applicazione del criterio della “forte presunzione”, occorre forse riflettere ulteriormente sulla giurisprudenza della Corte per fare in modo che vi sia la necessaria coerenza. </w:t>
      </w:r>
    </w:p>
    <w:p w:rsidR="0017635F" w:rsidRPr="0024196F" w:rsidRDefault="0017635F" w:rsidP="00010089">
      <w:pPr>
        <w:spacing w:after="0" w:line="240" w:lineRule="auto"/>
        <w:ind w:firstLine="360"/>
        <w:jc w:val="both"/>
        <w:rPr>
          <w:rFonts w:ascii="Times New Roman" w:hAnsi="Times New Roman" w:cs="Times New Roman"/>
          <w:sz w:val="28"/>
          <w:szCs w:val="24"/>
        </w:rPr>
      </w:pPr>
    </w:p>
    <w:p w:rsidR="0017635F" w:rsidRPr="0024196F" w:rsidRDefault="0017635F" w:rsidP="00010089">
      <w:pPr>
        <w:spacing w:after="0" w:line="240" w:lineRule="auto"/>
        <w:jc w:val="both"/>
        <w:rPr>
          <w:rFonts w:ascii="Times New Roman" w:hAnsi="Times New Roman" w:cs="Times New Roman"/>
          <w:sz w:val="28"/>
          <w:szCs w:val="24"/>
        </w:rPr>
      </w:pPr>
      <w:r w:rsidRPr="0024196F">
        <w:rPr>
          <w:rFonts w:ascii="Times New Roman" w:hAnsi="Times New Roman" w:cs="Times New Roman"/>
          <w:sz w:val="28"/>
          <w:szCs w:val="24"/>
        </w:rPr>
        <w:t>______________________________</w:t>
      </w:r>
      <w:r w:rsidR="00891AC9">
        <w:rPr>
          <w:rFonts w:ascii="Times New Roman" w:hAnsi="Times New Roman" w:cs="Times New Roman"/>
          <w:sz w:val="28"/>
          <w:szCs w:val="24"/>
        </w:rPr>
        <w:t xml:space="preserve"> </w:t>
      </w:r>
    </w:p>
    <w:p w:rsidR="0024196F" w:rsidRPr="0024196F" w:rsidRDefault="0024196F" w:rsidP="0017635F">
      <w:pPr>
        <w:spacing w:after="0" w:line="240" w:lineRule="auto"/>
        <w:jc w:val="both"/>
        <w:rPr>
          <w:rFonts w:ascii="Times New Roman" w:hAnsi="Times New Roman" w:cs="Times New Roman"/>
          <w:sz w:val="28"/>
          <w:szCs w:val="24"/>
        </w:rPr>
      </w:pPr>
      <w:r w:rsidRPr="0024196F">
        <w:rPr>
          <w:rFonts w:ascii="Times New Roman" w:hAnsi="Times New Roman" w:cs="Times New Roman"/>
          <w:sz w:val="28"/>
          <w:szCs w:val="24"/>
        </w:rPr>
        <w:t>Paragrafi da 1 a 44:</w:t>
      </w:r>
    </w:p>
    <w:p w:rsidR="0024196F" w:rsidRPr="0024196F" w:rsidRDefault="0024196F" w:rsidP="0024196F">
      <w:pPr>
        <w:spacing w:after="0" w:line="240" w:lineRule="auto"/>
        <w:jc w:val="both"/>
        <w:rPr>
          <w:rFonts w:ascii="Times New Roman" w:hAnsi="Times New Roman" w:cs="Times New Roman"/>
          <w:sz w:val="24"/>
          <w:szCs w:val="28"/>
        </w:rPr>
      </w:pPr>
      <w:r w:rsidRPr="0024196F">
        <w:rPr>
          <w:rFonts w:ascii="Times New Roman" w:hAnsi="Times New Roman" w:cs="Times New Roman"/>
          <w:sz w:val="24"/>
          <w:szCs w:val="28"/>
        </w:rPr>
        <w:t xml:space="preserve">Traduzione a cura della dott.ssa Alessandra Viviano </w:t>
      </w:r>
    </w:p>
    <w:p w:rsidR="0024196F" w:rsidRPr="0024196F" w:rsidRDefault="0024196F" w:rsidP="0024196F">
      <w:pPr>
        <w:spacing w:after="0" w:line="240" w:lineRule="auto"/>
        <w:jc w:val="both"/>
        <w:rPr>
          <w:rFonts w:ascii="Times New Roman" w:hAnsi="Times New Roman" w:cs="Times New Roman"/>
          <w:i/>
          <w:sz w:val="24"/>
          <w:szCs w:val="28"/>
        </w:rPr>
      </w:pPr>
      <w:r w:rsidRPr="0024196F">
        <w:rPr>
          <w:rFonts w:ascii="Times New Roman" w:hAnsi="Times New Roman" w:cs="Times New Roman"/>
          <w:i/>
          <w:sz w:val="24"/>
          <w:szCs w:val="28"/>
        </w:rPr>
        <w:t xml:space="preserve">Funzionario Linguistico area III F2 </w:t>
      </w:r>
    </w:p>
    <w:p w:rsidR="0024196F" w:rsidRPr="0024196F" w:rsidRDefault="0024196F" w:rsidP="0024196F">
      <w:pPr>
        <w:spacing w:after="0" w:line="240" w:lineRule="auto"/>
        <w:jc w:val="both"/>
        <w:rPr>
          <w:rFonts w:ascii="Times New Roman" w:hAnsi="Times New Roman" w:cs="Times New Roman"/>
          <w:i/>
          <w:sz w:val="24"/>
          <w:szCs w:val="28"/>
        </w:rPr>
      </w:pPr>
      <w:r w:rsidRPr="0024196F">
        <w:rPr>
          <w:rFonts w:ascii="Times New Roman" w:hAnsi="Times New Roman" w:cs="Times New Roman"/>
          <w:i/>
          <w:sz w:val="24"/>
          <w:szCs w:val="28"/>
        </w:rPr>
        <w:t>Ufficio Studi Ricerche Legislazione e Rapporti Internazionali</w:t>
      </w:r>
      <w:r w:rsidR="00010089">
        <w:rPr>
          <w:rFonts w:ascii="Times New Roman" w:hAnsi="Times New Roman" w:cs="Times New Roman"/>
          <w:i/>
          <w:sz w:val="24"/>
          <w:szCs w:val="28"/>
        </w:rPr>
        <w:t xml:space="preserve"> - </w:t>
      </w:r>
      <w:r w:rsidRPr="0024196F">
        <w:rPr>
          <w:rFonts w:ascii="Times New Roman" w:hAnsi="Times New Roman" w:cs="Times New Roman"/>
          <w:i/>
          <w:sz w:val="24"/>
          <w:szCs w:val="28"/>
        </w:rPr>
        <w:t>DAP</w:t>
      </w:r>
    </w:p>
    <w:p w:rsidR="0024196F" w:rsidRPr="0024196F" w:rsidRDefault="0024196F" w:rsidP="0017635F">
      <w:pPr>
        <w:spacing w:after="0" w:line="240" w:lineRule="auto"/>
        <w:jc w:val="both"/>
        <w:rPr>
          <w:rFonts w:ascii="Times New Roman" w:hAnsi="Times New Roman" w:cs="Times New Roman"/>
          <w:sz w:val="28"/>
          <w:szCs w:val="24"/>
        </w:rPr>
      </w:pPr>
    </w:p>
    <w:p w:rsidR="0024196F" w:rsidRPr="0024196F" w:rsidRDefault="0024196F" w:rsidP="0017635F">
      <w:pPr>
        <w:spacing w:after="0" w:line="240" w:lineRule="auto"/>
        <w:jc w:val="both"/>
        <w:rPr>
          <w:rFonts w:ascii="Times New Roman" w:hAnsi="Times New Roman" w:cs="Times New Roman"/>
          <w:sz w:val="28"/>
          <w:szCs w:val="24"/>
        </w:rPr>
      </w:pPr>
      <w:r w:rsidRPr="0024196F">
        <w:rPr>
          <w:rFonts w:ascii="Times New Roman" w:hAnsi="Times New Roman" w:cs="Times New Roman"/>
          <w:sz w:val="28"/>
          <w:szCs w:val="24"/>
        </w:rPr>
        <w:t>Paragrafi da 45 al termine:</w:t>
      </w:r>
    </w:p>
    <w:p w:rsidR="0017635F" w:rsidRPr="0024196F" w:rsidRDefault="0024196F" w:rsidP="0017635F">
      <w:pPr>
        <w:spacing w:after="0" w:line="240" w:lineRule="auto"/>
        <w:jc w:val="both"/>
        <w:rPr>
          <w:rFonts w:ascii="Times New Roman" w:hAnsi="Times New Roman" w:cs="Times New Roman"/>
          <w:sz w:val="28"/>
          <w:szCs w:val="24"/>
        </w:rPr>
      </w:pPr>
      <w:r w:rsidRPr="0024196F">
        <w:rPr>
          <w:rFonts w:ascii="Times New Roman" w:hAnsi="Times New Roman" w:cs="Times New Roman"/>
          <w:sz w:val="24"/>
          <w:szCs w:val="28"/>
        </w:rPr>
        <w:t xml:space="preserve">Traduzione a cura del dr. </w:t>
      </w:r>
      <w:r w:rsidR="0017635F" w:rsidRPr="0024196F">
        <w:rPr>
          <w:rFonts w:ascii="Times New Roman" w:hAnsi="Times New Roman" w:cs="Times New Roman"/>
          <w:sz w:val="28"/>
          <w:szCs w:val="24"/>
        </w:rPr>
        <w:t>Andrea Beccarini</w:t>
      </w:r>
    </w:p>
    <w:p w:rsidR="0017635F" w:rsidRPr="0024196F" w:rsidRDefault="0017635F" w:rsidP="0017635F">
      <w:pPr>
        <w:spacing w:after="0" w:line="240" w:lineRule="auto"/>
        <w:jc w:val="both"/>
        <w:rPr>
          <w:rFonts w:ascii="Times New Roman" w:hAnsi="Times New Roman" w:cs="Times New Roman"/>
          <w:i/>
          <w:sz w:val="24"/>
          <w:szCs w:val="24"/>
        </w:rPr>
      </w:pPr>
      <w:r w:rsidRPr="0024196F">
        <w:rPr>
          <w:rFonts w:ascii="Times New Roman" w:hAnsi="Times New Roman" w:cs="Times New Roman"/>
          <w:i/>
          <w:sz w:val="24"/>
          <w:szCs w:val="24"/>
        </w:rPr>
        <w:t>F</w:t>
      </w:r>
      <w:r w:rsidR="0024196F" w:rsidRPr="0024196F">
        <w:rPr>
          <w:rFonts w:ascii="Times New Roman" w:hAnsi="Times New Roman" w:cs="Times New Roman"/>
          <w:i/>
          <w:sz w:val="24"/>
          <w:szCs w:val="24"/>
        </w:rPr>
        <w:t>unzionario linguistico A III F 4</w:t>
      </w:r>
      <w:r w:rsidRPr="0024196F">
        <w:rPr>
          <w:rFonts w:ascii="Times New Roman" w:hAnsi="Times New Roman" w:cs="Times New Roman"/>
          <w:i/>
          <w:sz w:val="24"/>
          <w:szCs w:val="24"/>
        </w:rPr>
        <w:t xml:space="preserve"> </w:t>
      </w:r>
    </w:p>
    <w:p w:rsidR="00404282" w:rsidRPr="00010089" w:rsidRDefault="0017635F" w:rsidP="00010089">
      <w:pPr>
        <w:spacing w:after="0" w:line="240" w:lineRule="auto"/>
        <w:jc w:val="both"/>
        <w:rPr>
          <w:rFonts w:ascii="Times New Roman" w:hAnsi="Times New Roman" w:cs="Times New Roman"/>
          <w:i/>
          <w:sz w:val="24"/>
          <w:szCs w:val="24"/>
        </w:rPr>
      </w:pPr>
      <w:r w:rsidRPr="0024196F">
        <w:rPr>
          <w:rFonts w:ascii="Times New Roman" w:hAnsi="Times New Roman" w:cs="Times New Roman"/>
          <w:i/>
          <w:sz w:val="24"/>
          <w:szCs w:val="24"/>
        </w:rPr>
        <w:t>Ufficio Studi Ricerche Legislazione e Rapporti Internazionali</w:t>
      </w:r>
      <w:r w:rsidR="00010089">
        <w:rPr>
          <w:rFonts w:ascii="Times New Roman" w:hAnsi="Times New Roman" w:cs="Times New Roman"/>
          <w:i/>
          <w:sz w:val="24"/>
          <w:szCs w:val="24"/>
        </w:rPr>
        <w:t xml:space="preserve"> - </w:t>
      </w:r>
      <w:r w:rsidRPr="0024196F">
        <w:rPr>
          <w:rFonts w:ascii="Times New Roman" w:hAnsi="Times New Roman" w:cs="Times New Roman"/>
          <w:i/>
          <w:sz w:val="24"/>
          <w:szCs w:val="24"/>
        </w:rPr>
        <w:t>DAP</w:t>
      </w:r>
    </w:p>
    <w:sectPr w:rsidR="00404282" w:rsidRPr="00010089" w:rsidSect="00AE557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7F" w:rsidRDefault="0087467F" w:rsidP="008D341C">
      <w:pPr>
        <w:spacing w:after="0" w:line="240" w:lineRule="auto"/>
      </w:pPr>
      <w:r>
        <w:separator/>
      </w:r>
    </w:p>
  </w:endnote>
  <w:endnote w:type="continuationSeparator" w:id="0">
    <w:p w:rsidR="0087467F" w:rsidRDefault="0087467F" w:rsidP="008D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Futura Std">
    <w:altName w:val="Futura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129"/>
      <w:docPartObj>
        <w:docPartGallery w:val="Page Numbers (Bottom of Page)"/>
        <w:docPartUnique/>
      </w:docPartObj>
    </w:sdtPr>
    <w:sdtEndPr/>
    <w:sdtContent>
      <w:p w:rsidR="0024196F" w:rsidRDefault="0024196F">
        <w:pPr>
          <w:pStyle w:val="Pidipagina"/>
          <w:jc w:val="right"/>
        </w:pPr>
        <w:r>
          <w:fldChar w:fldCharType="begin"/>
        </w:r>
        <w:r>
          <w:instrText xml:space="preserve"> PAGE   \* MERGEFORMAT </w:instrText>
        </w:r>
        <w:r>
          <w:fldChar w:fldCharType="separate"/>
        </w:r>
        <w:r w:rsidR="00B66B04">
          <w:rPr>
            <w:noProof/>
          </w:rPr>
          <w:t>28</w:t>
        </w:r>
        <w:r>
          <w:rPr>
            <w:noProof/>
          </w:rPr>
          <w:fldChar w:fldCharType="end"/>
        </w:r>
      </w:p>
    </w:sdtContent>
  </w:sdt>
  <w:p w:rsidR="0024196F" w:rsidRDefault="002419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7F" w:rsidRDefault="0087467F" w:rsidP="008D341C">
      <w:pPr>
        <w:spacing w:after="0" w:line="240" w:lineRule="auto"/>
      </w:pPr>
      <w:r>
        <w:separator/>
      </w:r>
    </w:p>
  </w:footnote>
  <w:footnote w:type="continuationSeparator" w:id="0">
    <w:p w:rsidR="0087467F" w:rsidRDefault="0087467F" w:rsidP="008D341C">
      <w:pPr>
        <w:spacing w:after="0" w:line="240" w:lineRule="auto"/>
      </w:pPr>
      <w:r>
        <w:continuationSeparator/>
      </w:r>
    </w:p>
  </w:footnote>
  <w:footnote w:id="1">
    <w:p w:rsidR="0024196F" w:rsidRPr="008735DA" w:rsidRDefault="0024196F" w:rsidP="0017635F">
      <w:pPr>
        <w:pStyle w:val="Testonotaapidipagina"/>
        <w:jc w:val="both"/>
        <w:rPr>
          <w:rFonts w:ascii="Times New Roman" w:hAnsi="Times New Roman" w:cs="Times New Roman"/>
        </w:rPr>
      </w:pPr>
      <w:r w:rsidRPr="008735DA">
        <w:rPr>
          <w:rStyle w:val="Rimandonotaapidipagina"/>
          <w:rFonts w:ascii="Times New Roman" w:hAnsi="Times New Roman" w:cs="Times New Roman"/>
        </w:rPr>
        <w:footnoteRef/>
      </w:r>
      <w:r w:rsidRPr="008735DA">
        <w:rPr>
          <w:rFonts w:ascii="Times New Roman" w:hAnsi="Times New Roman" w:cs="Times New Roman"/>
          <w:szCs w:val="24"/>
        </w:rPr>
        <w:t xml:space="preserve">Statistiche Penali Annuali del Consiglio d’Europa, SPACE I (detenzione) e SPACE II (misure </w:t>
      </w:r>
      <w:r>
        <w:rPr>
          <w:rFonts w:ascii="Times New Roman" w:hAnsi="Times New Roman" w:cs="Times New Roman"/>
          <w:szCs w:val="24"/>
        </w:rPr>
        <w:t>e</w:t>
      </w:r>
      <w:r w:rsidRPr="008735DA">
        <w:rPr>
          <w:rFonts w:ascii="Times New Roman" w:hAnsi="Times New Roman" w:cs="Times New Roman"/>
          <w:szCs w:val="24"/>
        </w:rPr>
        <w:t xml:space="preserve"> sanzioni </w:t>
      </w:r>
      <w:r>
        <w:rPr>
          <w:rFonts w:ascii="Times New Roman" w:hAnsi="Times New Roman" w:cs="Times New Roman"/>
          <w:szCs w:val="24"/>
        </w:rPr>
        <w:t>a</w:t>
      </w:r>
      <w:r w:rsidRPr="008735DA">
        <w:rPr>
          <w:rFonts w:ascii="Times New Roman" w:hAnsi="Times New Roman" w:cs="Times New Roman"/>
          <w:szCs w:val="24"/>
        </w:rPr>
        <w:t xml:space="preserve">lternative), pubblicate l’11 febbraio 2015. Disponibili presso il sito </w:t>
      </w:r>
      <w:hyperlink r:id="rId1" w:history="1">
        <w:r w:rsidRPr="008735DA">
          <w:rPr>
            <w:rStyle w:val="Collegamentoipertestuale"/>
            <w:rFonts w:ascii="Times New Roman" w:hAnsi="Times New Roman" w:cs="Times New Roman"/>
            <w:szCs w:val="24"/>
          </w:rPr>
          <w:t>http://wp.unil.ch/space/space-i/annual-reports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551"/>
    <w:multiLevelType w:val="hybridMultilevel"/>
    <w:tmpl w:val="5ECC0D5C"/>
    <w:lvl w:ilvl="0" w:tplc="0DDC0DC4">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0CDC776B"/>
    <w:multiLevelType w:val="hybridMultilevel"/>
    <w:tmpl w:val="3A789A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E61942"/>
    <w:multiLevelType w:val="hybridMultilevel"/>
    <w:tmpl w:val="CB7AA1F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BE7573"/>
    <w:multiLevelType w:val="hybridMultilevel"/>
    <w:tmpl w:val="F928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4D1AE8"/>
    <w:multiLevelType w:val="hybridMultilevel"/>
    <w:tmpl w:val="0A06C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8B51FD"/>
    <w:multiLevelType w:val="hybridMultilevel"/>
    <w:tmpl w:val="72EA0434"/>
    <w:lvl w:ilvl="0" w:tplc="E14830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55D67"/>
    <w:multiLevelType w:val="hybridMultilevel"/>
    <w:tmpl w:val="7DE2C10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04018E"/>
    <w:multiLevelType w:val="hybridMultilevel"/>
    <w:tmpl w:val="1F02D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46EC2"/>
    <w:multiLevelType w:val="hybridMultilevel"/>
    <w:tmpl w:val="11CE57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E924FC"/>
    <w:multiLevelType w:val="hybridMultilevel"/>
    <w:tmpl w:val="25CED132"/>
    <w:lvl w:ilvl="0" w:tplc="572A4AE8">
      <w:start w:val="35"/>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3B764CF7"/>
    <w:multiLevelType w:val="hybridMultilevel"/>
    <w:tmpl w:val="DEAAAA2A"/>
    <w:lvl w:ilvl="0" w:tplc="4052FE0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FCC345E"/>
    <w:multiLevelType w:val="hybridMultilevel"/>
    <w:tmpl w:val="39945F40"/>
    <w:lvl w:ilvl="0" w:tplc="4CFCDA02">
      <w:start w:val="1"/>
      <w:numFmt w:val="decimal"/>
      <w:lvlText w:val="%1."/>
      <w:lvlJc w:val="left"/>
      <w:pPr>
        <w:ind w:left="5747" w:hanging="360"/>
      </w:pPr>
      <w:rPr>
        <w:rFonts w:hint="default"/>
      </w:rPr>
    </w:lvl>
    <w:lvl w:ilvl="1" w:tplc="04100019" w:tentative="1">
      <w:start w:val="1"/>
      <w:numFmt w:val="lowerLetter"/>
      <w:lvlText w:val="%2."/>
      <w:lvlJc w:val="left"/>
      <w:pPr>
        <w:ind w:left="6467" w:hanging="360"/>
      </w:pPr>
    </w:lvl>
    <w:lvl w:ilvl="2" w:tplc="0410001B" w:tentative="1">
      <w:start w:val="1"/>
      <w:numFmt w:val="lowerRoman"/>
      <w:lvlText w:val="%3."/>
      <w:lvlJc w:val="right"/>
      <w:pPr>
        <w:ind w:left="7187" w:hanging="180"/>
      </w:pPr>
    </w:lvl>
    <w:lvl w:ilvl="3" w:tplc="0410000F" w:tentative="1">
      <w:start w:val="1"/>
      <w:numFmt w:val="decimal"/>
      <w:lvlText w:val="%4."/>
      <w:lvlJc w:val="left"/>
      <w:pPr>
        <w:ind w:left="7907" w:hanging="360"/>
      </w:pPr>
    </w:lvl>
    <w:lvl w:ilvl="4" w:tplc="04100019" w:tentative="1">
      <w:start w:val="1"/>
      <w:numFmt w:val="lowerLetter"/>
      <w:lvlText w:val="%5."/>
      <w:lvlJc w:val="left"/>
      <w:pPr>
        <w:ind w:left="8627" w:hanging="360"/>
      </w:pPr>
    </w:lvl>
    <w:lvl w:ilvl="5" w:tplc="0410001B" w:tentative="1">
      <w:start w:val="1"/>
      <w:numFmt w:val="lowerRoman"/>
      <w:lvlText w:val="%6."/>
      <w:lvlJc w:val="right"/>
      <w:pPr>
        <w:ind w:left="9347" w:hanging="180"/>
      </w:pPr>
    </w:lvl>
    <w:lvl w:ilvl="6" w:tplc="0410000F" w:tentative="1">
      <w:start w:val="1"/>
      <w:numFmt w:val="decimal"/>
      <w:lvlText w:val="%7."/>
      <w:lvlJc w:val="left"/>
      <w:pPr>
        <w:ind w:left="10067" w:hanging="360"/>
      </w:pPr>
    </w:lvl>
    <w:lvl w:ilvl="7" w:tplc="04100019" w:tentative="1">
      <w:start w:val="1"/>
      <w:numFmt w:val="lowerLetter"/>
      <w:lvlText w:val="%8."/>
      <w:lvlJc w:val="left"/>
      <w:pPr>
        <w:ind w:left="10787" w:hanging="360"/>
      </w:pPr>
    </w:lvl>
    <w:lvl w:ilvl="8" w:tplc="0410001B" w:tentative="1">
      <w:start w:val="1"/>
      <w:numFmt w:val="lowerRoman"/>
      <w:lvlText w:val="%9."/>
      <w:lvlJc w:val="right"/>
      <w:pPr>
        <w:ind w:left="11507" w:hanging="180"/>
      </w:pPr>
    </w:lvl>
  </w:abstractNum>
  <w:abstractNum w:abstractNumId="12">
    <w:nsid w:val="41CF73C8"/>
    <w:multiLevelType w:val="hybridMultilevel"/>
    <w:tmpl w:val="E96432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430DAD"/>
    <w:multiLevelType w:val="hybridMultilevel"/>
    <w:tmpl w:val="98962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9024D9"/>
    <w:multiLevelType w:val="hybridMultilevel"/>
    <w:tmpl w:val="DEFE55E6"/>
    <w:lvl w:ilvl="0" w:tplc="D8BAF19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5BB334C7"/>
    <w:multiLevelType w:val="hybridMultilevel"/>
    <w:tmpl w:val="06ECD6DA"/>
    <w:lvl w:ilvl="0" w:tplc="FEC45146">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BB6A09"/>
    <w:multiLevelType w:val="hybridMultilevel"/>
    <w:tmpl w:val="E280D012"/>
    <w:lvl w:ilvl="0" w:tplc="C844805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D06745"/>
    <w:multiLevelType w:val="hybridMultilevel"/>
    <w:tmpl w:val="6C963DB2"/>
    <w:lvl w:ilvl="0" w:tplc="4AC28B7E">
      <w:start w:val="1"/>
      <w:numFmt w:val="decimal"/>
      <w:lvlText w:val="%1."/>
      <w:lvlJc w:val="left"/>
      <w:pPr>
        <w:ind w:left="1211"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FD4492"/>
    <w:multiLevelType w:val="hybridMultilevel"/>
    <w:tmpl w:val="1DAA66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18"/>
  </w:num>
  <w:num w:numId="5">
    <w:abstractNumId w:val="9"/>
  </w:num>
  <w:num w:numId="6">
    <w:abstractNumId w:val="16"/>
  </w:num>
  <w:num w:numId="7">
    <w:abstractNumId w:val="12"/>
  </w:num>
  <w:num w:numId="8">
    <w:abstractNumId w:val="11"/>
  </w:num>
  <w:num w:numId="9">
    <w:abstractNumId w:val="1"/>
  </w:num>
  <w:num w:numId="10">
    <w:abstractNumId w:val="7"/>
  </w:num>
  <w:num w:numId="11">
    <w:abstractNumId w:val="2"/>
  </w:num>
  <w:num w:numId="12">
    <w:abstractNumId w:val="8"/>
  </w:num>
  <w:num w:numId="13">
    <w:abstractNumId w:val="4"/>
  </w:num>
  <w:num w:numId="14">
    <w:abstractNumId w:val="6"/>
  </w:num>
  <w:num w:numId="15">
    <w:abstractNumId w:val="3"/>
  </w:num>
  <w:num w:numId="16">
    <w:abstractNumId w:val="10"/>
  </w:num>
  <w:num w:numId="17">
    <w:abstractNumId w:val="13"/>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1003"/>
    <w:rsid w:val="0000017F"/>
    <w:rsid w:val="00005FFE"/>
    <w:rsid w:val="00007677"/>
    <w:rsid w:val="00010089"/>
    <w:rsid w:val="000152BC"/>
    <w:rsid w:val="00017A23"/>
    <w:rsid w:val="00017DE8"/>
    <w:rsid w:val="00042505"/>
    <w:rsid w:val="000454D1"/>
    <w:rsid w:val="000533CD"/>
    <w:rsid w:val="00072D94"/>
    <w:rsid w:val="00083C94"/>
    <w:rsid w:val="00084BB9"/>
    <w:rsid w:val="00087C35"/>
    <w:rsid w:val="00094990"/>
    <w:rsid w:val="000B5DDA"/>
    <w:rsid w:val="000B6BB6"/>
    <w:rsid w:val="000C00B6"/>
    <w:rsid w:val="000C1F49"/>
    <w:rsid w:val="000C5498"/>
    <w:rsid w:val="000D3E08"/>
    <w:rsid w:val="000D7B42"/>
    <w:rsid w:val="000E194B"/>
    <w:rsid w:val="000F735D"/>
    <w:rsid w:val="00115C23"/>
    <w:rsid w:val="00133529"/>
    <w:rsid w:val="0014164D"/>
    <w:rsid w:val="00141CF5"/>
    <w:rsid w:val="00143AF8"/>
    <w:rsid w:val="00146E01"/>
    <w:rsid w:val="00152A3E"/>
    <w:rsid w:val="001532D3"/>
    <w:rsid w:val="00153E4D"/>
    <w:rsid w:val="00154396"/>
    <w:rsid w:val="0015466A"/>
    <w:rsid w:val="001647D1"/>
    <w:rsid w:val="00171FBD"/>
    <w:rsid w:val="00174E0A"/>
    <w:rsid w:val="0017635F"/>
    <w:rsid w:val="00177B8F"/>
    <w:rsid w:val="00182A60"/>
    <w:rsid w:val="00187677"/>
    <w:rsid w:val="001A4755"/>
    <w:rsid w:val="001A6E9F"/>
    <w:rsid w:val="001C075B"/>
    <w:rsid w:val="001C334A"/>
    <w:rsid w:val="001C62E6"/>
    <w:rsid w:val="001D064A"/>
    <w:rsid w:val="001D38E7"/>
    <w:rsid w:val="001F3F28"/>
    <w:rsid w:val="001F50EF"/>
    <w:rsid w:val="001F6EC4"/>
    <w:rsid w:val="002034E4"/>
    <w:rsid w:val="00204E2B"/>
    <w:rsid w:val="002055D9"/>
    <w:rsid w:val="002066E7"/>
    <w:rsid w:val="00207455"/>
    <w:rsid w:val="00213174"/>
    <w:rsid w:val="0024196F"/>
    <w:rsid w:val="002435CC"/>
    <w:rsid w:val="0024777F"/>
    <w:rsid w:val="002526FF"/>
    <w:rsid w:val="00256EA6"/>
    <w:rsid w:val="0026032C"/>
    <w:rsid w:val="0027736F"/>
    <w:rsid w:val="002A33E4"/>
    <w:rsid w:val="002C4162"/>
    <w:rsid w:val="002C70D2"/>
    <w:rsid w:val="002E30B3"/>
    <w:rsid w:val="002E3A04"/>
    <w:rsid w:val="002E3A8D"/>
    <w:rsid w:val="002E43ED"/>
    <w:rsid w:val="002E6D73"/>
    <w:rsid w:val="002F3CAB"/>
    <w:rsid w:val="002F3F60"/>
    <w:rsid w:val="002F5243"/>
    <w:rsid w:val="002F7458"/>
    <w:rsid w:val="003007E3"/>
    <w:rsid w:val="00301C1C"/>
    <w:rsid w:val="00305E5C"/>
    <w:rsid w:val="00306A07"/>
    <w:rsid w:val="0031074D"/>
    <w:rsid w:val="00325F2B"/>
    <w:rsid w:val="00333AE9"/>
    <w:rsid w:val="003345B7"/>
    <w:rsid w:val="0033544E"/>
    <w:rsid w:val="00343B3F"/>
    <w:rsid w:val="00360854"/>
    <w:rsid w:val="00360941"/>
    <w:rsid w:val="00365D0B"/>
    <w:rsid w:val="00370A6A"/>
    <w:rsid w:val="0038568E"/>
    <w:rsid w:val="00390348"/>
    <w:rsid w:val="00395CE6"/>
    <w:rsid w:val="003A5CFE"/>
    <w:rsid w:val="003A6382"/>
    <w:rsid w:val="003B0905"/>
    <w:rsid w:val="003B43C3"/>
    <w:rsid w:val="003C019A"/>
    <w:rsid w:val="003D25DE"/>
    <w:rsid w:val="003E0C2A"/>
    <w:rsid w:val="00403799"/>
    <w:rsid w:val="00404282"/>
    <w:rsid w:val="0040739F"/>
    <w:rsid w:val="0040765B"/>
    <w:rsid w:val="00410860"/>
    <w:rsid w:val="004131DD"/>
    <w:rsid w:val="00415A9D"/>
    <w:rsid w:val="00434D4C"/>
    <w:rsid w:val="004362B2"/>
    <w:rsid w:val="004676CD"/>
    <w:rsid w:val="00471D9D"/>
    <w:rsid w:val="004B6FE9"/>
    <w:rsid w:val="004C2089"/>
    <w:rsid w:val="004C70AE"/>
    <w:rsid w:val="004D1ABE"/>
    <w:rsid w:val="004D2A93"/>
    <w:rsid w:val="004F1749"/>
    <w:rsid w:val="0050395C"/>
    <w:rsid w:val="00514874"/>
    <w:rsid w:val="0054034A"/>
    <w:rsid w:val="00542342"/>
    <w:rsid w:val="00542C5D"/>
    <w:rsid w:val="005431FD"/>
    <w:rsid w:val="005554A1"/>
    <w:rsid w:val="00562B22"/>
    <w:rsid w:val="00563702"/>
    <w:rsid w:val="00567B83"/>
    <w:rsid w:val="00572778"/>
    <w:rsid w:val="00574006"/>
    <w:rsid w:val="00585B2C"/>
    <w:rsid w:val="00590D15"/>
    <w:rsid w:val="0059178D"/>
    <w:rsid w:val="00594632"/>
    <w:rsid w:val="005A46A1"/>
    <w:rsid w:val="005A6814"/>
    <w:rsid w:val="005C40C3"/>
    <w:rsid w:val="005C4E1B"/>
    <w:rsid w:val="005C592E"/>
    <w:rsid w:val="005E5B66"/>
    <w:rsid w:val="005F5892"/>
    <w:rsid w:val="00602A9F"/>
    <w:rsid w:val="00606DE3"/>
    <w:rsid w:val="00614FF2"/>
    <w:rsid w:val="00630177"/>
    <w:rsid w:val="00637E32"/>
    <w:rsid w:val="0067257F"/>
    <w:rsid w:val="00677AED"/>
    <w:rsid w:val="00686138"/>
    <w:rsid w:val="006951FF"/>
    <w:rsid w:val="006A1481"/>
    <w:rsid w:val="006A20C3"/>
    <w:rsid w:val="006B06A5"/>
    <w:rsid w:val="006B6555"/>
    <w:rsid w:val="006C0A0B"/>
    <w:rsid w:val="006C388F"/>
    <w:rsid w:val="006C4605"/>
    <w:rsid w:val="006D3505"/>
    <w:rsid w:val="006D71C0"/>
    <w:rsid w:val="006E71DA"/>
    <w:rsid w:val="006E7BC2"/>
    <w:rsid w:val="00700347"/>
    <w:rsid w:val="0071226D"/>
    <w:rsid w:val="00725131"/>
    <w:rsid w:val="007313A9"/>
    <w:rsid w:val="007326F9"/>
    <w:rsid w:val="00744A3B"/>
    <w:rsid w:val="00744BDA"/>
    <w:rsid w:val="007511BA"/>
    <w:rsid w:val="00756B8E"/>
    <w:rsid w:val="00771A7D"/>
    <w:rsid w:val="00772D68"/>
    <w:rsid w:val="00791D6B"/>
    <w:rsid w:val="00794482"/>
    <w:rsid w:val="007A2B13"/>
    <w:rsid w:val="007A7DB8"/>
    <w:rsid w:val="007B3FFC"/>
    <w:rsid w:val="007C0CB0"/>
    <w:rsid w:val="007C1D7D"/>
    <w:rsid w:val="007C5703"/>
    <w:rsid w:val="007D04DE"/>
    <w:rsid w:val="007D1D02"/>
    <w:rsid w:val="007D2FA4"/>
    <w:rsid w:val="007D378E"/>
    <w:rsid w:val="007D3D5F"/>
    <w:rsid w:val="007D657B"/>
    <w:rsid w:val="007E0A82"/>
    <w:rsid w:val="00803B7E"/>
    <w:rsid w:val="008065DD"/>
    <w:rsid w:val="008069FB"/>
    <w:rsid w:val="00810AC3"/>
    <w:rsid w:val="00810DD9"/>
    <w:rsid w:val="00825FAB"/>
    <w:rsid w:val="00830912"/>
    <w:rsid w:val="008379A7"/>
    <w:rsid w:val="00847EF3"/>
    <w:rsid w:val="008708EC"/>
    <w:rsid w:val="00873FF4"/>
    <w:rsid w:val="0087467F"/>
    <w:rsid w:val="008765AD"/>
    <w:rsid w:val="00881152"/>
    <w:rsid w:val="00887994"/>
    <w:rsid w:val="00891AC9"/>
    <w:rsid w:val="008A69F9"/>
    <w:rsid w:val="008A7FE9"/>
    <w:rsid w:val="008C17BE"/>
    <w:rsid w:val="008D19E9"/>
    <w:rsid w:val="008D1A6A"/>
    <w:rsid w:val="008D341C"/>
    <w:rsid w:val="008E5164"/>
    <w:rsid w:val="008F16B5"/>
    <w:rsid w:val="00901003"/>
    <w:rsid w:val="00923026"/>
    <w:rsid w:val="00930A00"/>
    <w:rsid w:val="009336EA"/>
    <w:rsid w:val="00937305"/>
    <w:rsid w:val="00940EC3"/>
    <w:rsid w:val="009530F7"/>
    <w:rsid w:val="009604EA"/>
    <w:rsid w:val="00981D1A"/>
    <w:rsid w:val="009A2C64"/>
    <w:rsid w:val="009A3A71"/>
    <w:rsid w:val="009A7ED8"/>
    <w:rsid w:val="009B3573"/>
    <w:rsid w:val="009E0852"/>
    <w:rsid w:val="009F3C86"/>
    <w:rsid w:val="00A026D9"/>
    <w:rsid w:val="00A057F1"/>
    <w:rsid w:val="00A06438"/>
    <w:rsid w:val="00A33F69"/>
    <w:rsid w:val="00A404BA"/>
    <w:rsid w:val="00A41C64"/>
    <w:rsid w:val="00A44E1F"/>
    <w:rsid w:val="00A47482"/>
    <w:rsid w:val="00A57111"/>
    <w:rsid w:val="00A77D04"/>
    <w:rsid w:val="00A83929"/>
    <w:rsid w:val="00A83993"/>
    <w:rsid w:val="00A8541F"/>
    <w:rsid w:val="00A93DA2"/>
    <w:rsid w:val="00AA2E60"/>
    <w:rsid w:val="00AA6E8D"/>
    <w:rsid w:val="00AA6F62"/>
    <w:rsid w:val="00AB1E87"/>
    <w:rsid w:val="00AC63FE"/>
    <w:rsid w:val="00AD03DF"/>
    <w:rsid w:val="00AD4ED3"/>
    <w:rsid w:val="00AD79ED"/>
    <w:rsid w:val="00AE488D"/>
    <w:rsid w:val="00AE5577"/>
    <w:rsid w:val="00AF22E4"/>
    <w:rsid w:val="00AF3C3A"/>
    <w:rsid w:val="00AF6101"/>
    <w:rsid w:val="00B05E34"/>
    <w:rsid w:val="00B143BA"/>
    <w:rsid w:val="00B21B0B"/>
    <w:rsid w:val="00B21B52"/>
    <w:rsid w:val="00B22095"/>
    <w:rsid w:val="00B245A5"/>
    <w:rsid w:val="00B410C0"/>
    <w:rsid w:val="00B437F4"/>
    <w:rsid w:val="00B44173"/>
    <w:rsid w:val="00B54EF2"/>
    <w:rsid w:val="00B60A59"/>
    <w:rsid w:val="00B66B04"/>
    <w:rsid w:val="00B742C9"/>
    <w:rsid w:val="00B746DB"/>
    <w:rsid w:val="00B7685C"/>
    <w:rsid w:val="00B83739"/>
    <w:rsid w:val="00B954EB"/>
    <w:rsid w:val="00B9570A"/>
    <w:rsid w:val="00BA0C1A"/>
    <w:rsid w:val="00BA573F"/>
    <w:rsid w:val="00BC364A"/>
    <w:rsid w:val="00BC6174"/>
    <w:rsid w:val="00BF72D5"/>
    <w:rsid w:val="00C16348"/>
    <w:rsid w:val="00C23CBD"/>
    <w:rsid w:val="00C2408E"/>
    <w:rsid w:val="00C26D29"/>
    <w:rsid w:val="00C34233"/>
    <w:rsid w:val="00C3644F"/>
    <w:rsid w:val="00C3650E"/>
    <w:rsid w:val="00C42A30"/>
    <w:rsid w:val="00C5094C"/>
    <w:rsid w:val="00C51721"/>
    <w:rsid w:val="00C53CAE"/>
    <w:rsid w:val="00C66191"/>
    <w:rsid w:val="00C6645D"/>
    <w:rsid w:val="00C7139E"/>
    <w:rsid w:val="00C83AE9"/>
    <w:rsid w:val="00C968DA"/>
    <w:rsid w:val="00CA3B0D"/>
    <w:rsid w:val="00CA7E85"/>
    <w:rsid w:val="00CB080D"/>
    <w:rsid w:val="00CC78C9"/>
    <w:rsid w:val="00CD0E49"/>
    <w:rsid w:val="00CD15E7"/>
    <w:rsid w:val="00CD3F8B"/>
    <w:rsid w:val="00CF14F5"/>
    <w:rsid w:val="00D12046"/>
    <w:rsid w:val="00D13ADD"/>
    <w:rsid w:val="00D20EE5"/>
    <w:rsid w:val="00D23C91"/>
    <w:rsid w:val="00D30E3E"/>
    <w:rsid w:val="00D363D9"/>
    <w:rsid w:val="00D36E4B"/>
    <w:rsid w:val="00D5554C"/>
    <w:rsid w:val="00D602FC"/>
    <w:rsid w:val="00D6073F"/>
    <w:rsid w:val="00D6694C"/>
    <w:rsid w:val="00D71184"/>
    <w:rsid w:val="00D774A3"/>
    <w:rsid w:val="00D8371F"/>
    <w:rsid w:val="00D84119"/>
    <w:rsid w:val="00D9522E"/>
    <w:rsid w:val="00D95747"/>
    <w:rsid w:val="00D95E43"/>
    <w:rsid w:val="00DA00B2"/>
    <w:rsid w:val="00DA128A"/>
    <w:rsid w:val="00DB63C0"/>
    <w:rsid w:val="00DC09DE"/>
    <w:rsid w:val="00DD2678"/>
    <w:rsid w:val="00DE2B0B"/>
    <w:rsid w:val="00DE4E8A"/>
    <w:rsid w:val="00DE6A35"/>
    <w:rsid w:val="00DE6A91"/>
    <w:rsid w:val="00DE711D"/>
    <w:rsid w:val="00DE76AD"/>
    <w:rsid w:val="00DF4C07"/>
    <w:rsid w:val="00DF73C0"/>
    <w:rsid w:val="00E1283C"/>
    <w:rsid w:val="00E1565A"/>
    <w:rsid w:val="00E22D73"/>
    <w:rsid w:val="00E2661E"/>
    <w:rsid w:val="00E2745D"/>
    <w:rsid w:val="00E35561"/>
    <w:rsid w:val="00E43610"/>
    <w:rsid w:val="00E52F49"/>
    <w:rsid w:val="00E67AEE"/>
    <w:rsid w:val="00E71E91"/>
    <w:rsid w:val="00E821A8"/>
    <w:rsid w:val="00E83F0F"/>
    <w:rsid w:val="00E86820"/>
    <w:rsid w:val="00E87060"/>
    <w:rsid w:val="00EA01E3"/>
    <w:rsid w:val="00EC6694"/>
    <w:rsid w:val="00ED3616"/>
    <w:rsid w:val="00EE53D7"/>
    <w:rsid w:val="00F041C6"/>
    <w:rsid w:val="00F10AC6"/>
    <w:rsid w:val="00F13222"/>
    <w:rsid w:val="00F20C10"/>
    <w:rsid w:val="00F23799"/>
    <w:rsid w:val="00F242E8"/>
    <w:rsid w:val="00F26C61"/>
    <w:rsid w:val="00F33C5E"/>
    <w:rsid w:val="00F37731"/>
    <w:rsid w:val="00F4076B"/>
    <w:rsid w:val="00F42B6A"/>
    <w:rsid w:val="00F43EE4"/>
    <w:rsid w:val="00F44355"/>
    <w:rsid w:val="00F45C39"/>
    <w:rsid w:val="00F66F07"/>
    <w:rsid w:val="00F71FF3"/>
    <w:rsid w:val="00F7234E"/>
    <w:rsid w:val="00F86381"/>
    <w:rsid w:val="00F919BB"/>
    <w:rsid w:val="00F94345"/>
    <w:rsid w:val="00FA5040"/>
    <w:rsid w:val="00FB037F"/>
    <w:rsid w:val="00FB743C"/>
    <w:rsid w:val="00FC2B45"/>
    <w:rsid w:val="00FD3CA3"/>
    <w:rsid w:val="00FD5553"/>
    <w:rsid w:val="00FD7D57"/>
    <w:rsid w:val="00FE234D"/>
    <w:rsid w:val="00FF013A"/>
    <w:rsid w:val="00FF06BC"/>
    <w:rsid w:val="00FF0D3E"/>
    <w:rsid w:val="00FF4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5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7EF3"/>
    <w:pPr>
      <w:ind w:left="720"/>
      <w:contextualSpacing/>
    </w:pPr>
  </w:style>
  <w:style w:type="paragraph" w:styleId="Intestazione">
    <w:name w:val="header"/>
    <w:basedOn w:val="Normale"/>
    <w:link w:val="IntestazioneCarattere"/>
    <w:uiPriority w:val="99"/>
    <w:unhideWhenUsed/>
    <w:rsid w:val="008D34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41C"/>
  </w:style>
  <w:style w:type="paragraph" w:styleId="Pidipagina">
    <w:name w:val="footer"/>
    <w:basedOn w:val="Normale"/>
    <w:link w:val="PidipaginaCarattere"/>
    <w:uiPriority w:val="99"/>
    <w:unhideWhenUsed/>
    <w:rsid w:val="008D34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41C"/>
  </w:style>
  <w:style w:type="paragraph" w:customStyle="1" w:styleId="Default">
    <w:name w:val="Default"/>
    <w:rsid w:val="0017635F"/>
    <w:pPr>
      <w:autoSpaceDE w:val="0"/>
      <w:autoSpaceDN w:val="0"/>
      <w:adjustRightInd w:val="0"/>
      <w:spacing w:after="0" w:line="240" w:lineRule="auto"/>
    </w:pPr>
    <w:rPr>
      <w:rFonts w:ascii="Futura Std" w:hAnsi="Futura Std" w:cs="Futura Std"/>
      <w:color w:val="000000"/>
      <w:sz w:val="24"/>
      <w:szCs w:val="24"/>
    </w:rPr>
  </w:style>
  <w:style w:type="paragraph" w:styleId="Testonotaapidipagina">
    <w:name w:val="footnote text"/>
    <w:basedOn w:val="Normale"/>
    <w:link w:val="TestonotaapidipaginaCarattere"/>
    <w:uiPriority w:val="99"/>
    <w:semiHidden/>
    <w:unhideWhenUsed/>
    <w:rsid w:val="001763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635F"/>
    <w:rPr>
      <w:sz w:val="20"/>
      <w:szCs w:val="20"/>
    </w:rPr>
  </w:style>
  <w:style w:type="character" w:styleId="Rimandonotaapidipagina">
    <w:name w:val="footnote reference"/>
    <w:basedOn w:val="Carpredefinitoparagrafo"/>
    <w:uiPriority w:val="99"/>
    <w:semiHidden/>
    <w:unhideWhenUsed/>
    <w:rsid w:val="0017635F"/>
    <w:rPr>
      <w:vertAlign w:val="superscript"/>
    </w:rPr>
  </w:style>
  <w:style w:type="character" w:styleId="Collegamentoipertestuale">
    <w:name w:val="Hyperlink"/>
    <w:basedOn w:val="Carpredefinitoparagrafo"/>
    <w:uiPriority w:val="99"/>
    <w:unhideWhenUsed/>
    <w:rsid w:val="001763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p.unil.ch/space/space-i/annual-report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BC0F-70C0-495A-B6D3-0D819D92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10762</Words>
  <Characters>61346</Characters>
  <Application>Microsoft Office Word</Application>
  <DocSecurity>0</DocSecurity>
  <Lines>511</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Andrea Beccarini</cp:lastModifiedBy>
  <cp:revision>6</cp:revision>
  <dcterms:created xsi:type="dcterms:W3CDTF">2015-04-09T07:36:00Z</dcterms:created>
  <dcterms:modified xsi:type="dcterms:W3CDTF">2015-04-09T08:02:00Z</dcterms:modified>
</cp:coreProperties>
</file>