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5D" w:rsidRPr="00C2619B" w:rsidRDefault="00EB515D" w:rsidP="00EB515D">
      <w:pPr>
        <w:jc w:val="both"/>
        <w:rPr>
          <w:b/>
          <w:bCs/>
          <w:color w:val="484848"/>
          <w:spacing w:val="-3"/>
          <w:kern w:val="36"/>
          <w:sz w:val="22"/>
          <w:szCs w:val="16"/>
          <w:lang w:eastAsia="it-IT"/>
        </w:rPr>
      </w:pPr>
      <w:r w:rsidRPr="00C2619B">
        <w:rPr>
          <w:b/>
          <w:bCs/>
          <w:color w:val="484848"/>
          <w:spacing w:val="-3"/>
          <w:kern w:val="36"/>
          <w:sz w:val="22"/>
          <w:szCs w:val="16"/>
          <w:lang w:eastAsia="it-IT"/>
        </w:rPr>
        <w:t>LAUREATI MA DEQUALIFICATI: I GIOVANI DEL MEDITERRANEO ANNASPANO</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Pr>
          <w:bCs/>
          <w:color w:val="484848"/>
          <w:spacing w:val="-3"/>
          <w:kern w:val="36"/>
          <w:sz w:val="22"/>
          <w:szCs w:val="16"/>
          <w:lang w:eastAsia="it-IT"/>
        </w:rPr>
        <w:t>“</w:t>
      </w:r>
      <w:r w:rsidRPr="00C2619B">
        <w:rPr>
          <w:bCs/>
          <w:color w:val="484848"/>
          <w:spacing w:val="-3"/>
          <w:kern w:val="36"/>
          <w:sz w:val="22"/>
          <w:szCs w:val="16"/>
          <w:lang w:eastAsia="it-IT"/>
        </w:rPr>
        <w:t>Milleuristi</w:t>
      </w:r>
      <w:r>
        <w:rPr>
          <w:bCs/>
          <w:color w:val="484848"/>
          <w:spacing w:val="-3"/>
          <w:kern w:val="36"/>
          <w:sz w:val="22"/>
          <w:szCs w:val="16"/>
          <w:lang w:eastAsia="it-IT"/>
        </w:rPr>
        <w:t>”</w:t>
      </w:r>
      <w:r w:rsidRPr="00C2619B">
        <w:rPr>
          <w:bCs/>
          <w:color w:val="484848"/>
          <w:spacing w:val="-3"/>
          <w:kern w:val="36"/>
          <w:sz w:val="22"/>
          <w:szCs w:val="16"/>
          <w:lang w:eastAsia="it-IT"/>
        </w:rPr>
        <w:t xml:space="preserve"> spagnoli, </w:t>
      </w:r>
      <w:r>
        <w:rPr>
          <w:bCs/>
          <w:color w:val="484848"/>
          <w:spacing w:val="-3"/>
          <w:kern w:val="36"/>
          <w:sz w:val="22"/>
          <w:szCs w:val="16"/>
          <w:lang w:eastAsia="it-IT"/>
        </w:rPr>
        <w:t>“</w:t>
      </w:r>
      <w:r w:rsidRPr="00C2619B">
        <w:rPr>
          <w:bCs/>
          <w:color w:val="484848"/>
          <w:spacing w:val="-3"/>
          <w:kern w:val="36"/>
          <w:sz w:val="22"/>
          <w:szCs w:val="16"/>
          <w:lang w:eastAsia="it-IT"/>
        </w:rPr>
        <w:t>generazione mille euro</w:t>
      </w:r>
      <w:r>
        <w:rPr>
          <w:bCs/>
          <w:color w:val="484848"/>
          <w:spacing w:val="-3"/>
          <w:kern w:val="36"/>
          <w:sz w:val="22"/>
          <w:szCs w:val="16"/>
          <w:lang w:eastAsia="it-IT"/>
        </w:rPr>
        <w:t>”</w:t>
      </w:r>
      <w:r w:rsidRPr="00C2619B">
        <w:rPr>
          <w:bCs/>
          <w:color w:val="484848"/>
          <w:spacing w:val="-3"/>
          <w:kern w:val="36"/>
          <w:sz w:val="22"/>
          <w:szCs w:val="16"/>
          <w:lang w:eastAsia="it-IT"/>
        </w:rPr>
        <w:t xml:space="preserve"> all’italiana, quella dei 650 euro in Grecia. I giovani laureati greci attualmente in rivolta condividono con i loro coetanei del sud Europa il triste primato di essere sottopagati quando trovano finalmente un lavoro, spesso precario. Laureati ma dequalificati, vivono con mamma e papà fino ai 30 anni e oltre. Per ragioni finanziarie, ma anche, </w:t>
      </w:r>
      <w:r>
        <w:rPr>
          <w:bCs/>
          <w:color w:val="484848"/>
          <w:spacing w:val="-3"/>
          <w:kern w:val="36"/>
          <w:sz w:val="22"/>
          <w:szCs w:val="16"/>
          <w:lang w:eastAsia="it-IT"/>
        </w:rPr>
        <w:t>“</w:t>
      </w:r>
      <w:r w:rsidRPr="00C2619B">
        <w:rPr>
          <w:bCs/>
          <w:color w:val="484848"/>
          <w:spacing w:val="-3"/>
          <w:kern w:val="36"/>
          <w:sz w:val="22"/>
          <w:szCs w:val="16"/>
          <w:lang w:eastAsia="it-IT"/>
        </w:rPr>
        <w:t>Méditerranée oblige</w:t>
      </w:r>
      <w:r>
        <w:rPr>
          <w:bCs/>
          <w:color w:val="484848"/>
          <w:spacing w:val="-3"/>
          <w:kern w:val="36"/>
          <w:sz w:val="22"/>
          <w:szCs w:val="16"/>
          <w:lang w:eastAsia="it-IT"/>
        </w:rPr>
        <w:t>”</w:t>
      </w:r>
      <w:r w:rsidRPr="00C2619B">
        <w:rPr>
          <w:bCs/>
          <w:color w:val="484848"/>
          <w:spacing w:val="-3"/>
          <w:kern w:val="36"/>
          <w:sz w:val="22"/>
          <w:szCs w:val="16"/>
          <w:lang w:eastAsia="it-IT"/>
        </w:rPr>
        <w:t>, per attaccamento alla famiglia.</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Pr>
          <w:bCs/>
          <w:color w:val="484848"/>
          <w:spacing w:val="-3"/>
          <w:kern w:val="36"/>
          <w:sz w:val="22"/>
          <w:szCs w:val="16"/>
          <w:lang w:eastAsia="it-IT"/>
        </w:rPr>
        <w:t>“</w:t>
      </w:r>
      <w:r w:rsidRPr="00C2619B">
        <w:rPr>
          <w:bCs/>
          <w:color w:val="484848"/>
          <w:spacing w:val="-3"/>
          <w:kern w:val="36"/>
          <w:sz w:val="22"/>
          <w:szCs w:val="16"/>
          <w:lang w:eastAsia="it-IT"/>
        </w:rPr>
        <w:t>In alcune società il peso della precarietà è distribuito più o meno equamente su più generazioni. Nel caso specifico, invece, la precarietà è tutta sulle spalle dei giovani</w:t>
      </w:r>
      <w:r>
        <w:rPr>
          <w:bCs/>
          <w:color w:val="484848"/>
          <w:spacing w:val="-3"/>
          <w:kern w:val="36"/>
          <w:sz w:val="22"/>
          <w:szCs w:val="16"/>
          <w:lang w:eastAsia="it-IT"/>
        </w:rPr>
        <w:t>”</w:t>
      </w:r>
      <w:r w:rsidRPr="00C2619B">
        <w:rPr>
          <w:bCs/>
          <w:color w:val="484848"/>
          <w:spacing w:val="-3"/>
          <w:kern w:val="36"/>
          <w:sz w:val="22"/>
          <w:szCs w:val="16"/>
          <w:lang w:eastAsia="it-IT"/>
        </w:rPr>
        <w:t>, riassume il ricercatore del CNRS Olivier Galland. Tant’è che persino in Francia la percentuale di occupati a tempo indeterminato tra i 30-50enni rimane immutata da 20 anni</w:t>
      </w:r>
      <w:r>
        <w:rPr>
          <w:bCs/>
          <w:color w:val="484848"/>
          <w:spacing w:val="-3"/>
          <w:kern w:val="36"/>
          <w:sz w:val="22"/>
          <w:szCs w:val="16"/>
          <w:lang w:eastAsia="it-IT"/>
        </w:rPr>
        <w:t xml:space="preserve"> a questa parte</w:t>
      </w:r>
      <w:r w:rsidRPr="00C2619B">
        <w:rPr>
          <w:bCs/>
          <w:color w:val="484848"/>
          <w:spacing w:val="-3"/>
          <w:kern w:val="36"/>
          <w:sz w:val="22"/>
          <w:szCs w:val="16"/>
          <w:lang w:eastAsia="it-IT"/>
        </w:rPr>
        <w:t>.</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Fanalino di coda nella classifica occupazionale giovanile, con un 25,2% di disoccupati tra i 15 e i 24 anni (Eurostat, 2006), la Grecia è seguita dall'Italia (21,6%). Nuovamente in preda a una grave crisi occupazionale, anche la Spagna rischia di far fare ai propri figli la stessa fine.</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 xml:space="preserve">Tra interminabili anni di studio e lavori pagati una miseria, questi giovani pagano lo scotto di una </w:t>
      </w:r>
      <w:r>
        <w:rPr>
          <w:bCs/>
          <w:color w:val="484848"/>
          <w:spacing w:val="-3"/>
          <w:kern w:val="36"/>
          <w:sz w:val="22"/>
          <w:szCs w:val="16"/>
          <w:lang w:eastAsia="it-IT"/>
        </w:rPr>
        <w:t>“</w:t>
      </w:r>
      <w:r w:rsidRPr="00C2619B">
        <w:rPr>
          <w:bCs/>
          <w:color w:val="484848"/>
          <w:spacing w:val="-3"/>
          <w:kern w:val="36"/>
          <w:sz w:val="22"/>
          <w:szCs w:val="16"/>
          <w:lang w:eastAsia="it-IT"/>
        </w:rPr>
        <w:t>promessa non mantenuta</w:t>
      </w:r>
      <w:r>
        <w:rPr>
          <w:bCs/>
          <w:color w:val="484848"/>
          <w:spacing w:val="-3"/>
          <w:kern w:val="36"/>
          <w:sz w:val="22"/>
          <w:szCs w:val="16"/>
          <w:lang w:eastAsia="it-IT"/>
        </w:rPr>
        <w:t>”</w:t>
      </w:r>
      <w:r w:rsidRPr="00C2619B">
        <w:rPr>
          <w:bCs/>
          <w:color w:val="484848"/>
          <w:spacing w:val="-3"/>
          <w:kern w:val="36"/>
          <w:sz w:val="22"/>
          <w:szCs w:val="16"/>
          <w:lang w:eastAsia="it-IT"/>
        </w:rPr>
        <w:t xml:space="preserve"> quando trovano un lavoro, il quale, il più delle volte</w:t>
      </w:r>
      <w:r>
        <w:rPr>
          <w:bCs/>
          <w:color w:val="484848"/>
          <w:spacing w:val="-3"/>
          <w:kern w:val="36"/>
          <w:sz w:val="22"/>
          <w:szCs w:val="16"/>
          <w:lang w:eastAsia="it-IT"/>
        </w:rPr>
        <w:t>,</w:t>
      </w:r>
      <w:r w:rsidRPr="00C2619B">
        <w:rPr>
          <w:bCs/>
          <w:color w:val="484848"/>
          <w:spacing w:val="-3"/>
          <w:kern w:val="36"/>
          <w:sz w:val="22"/>
          <w:szCs w:val="16"/>
          <w:lang w:eastAsia="it-IT"/>
        </w:rPr>
        <w:t xml:space="preserve"> non ha nulla a che fare con il loro “investimento formativo”, dice la sociologa Cécile Van de Velde. La situazione è ancora più sconcertante se si considera che negli ultimi anni si è dilatato il “gap generazionale” tra genitori che non hanno studiato e figli iper istruiti. </w:t>
      </w:r>
      <w:r>
        <w:rPr>
          <w:bCs/>
          <w:color w:val="484848"/>
          <w:spacing w:val="-3"/>
          <w:kern w:val="36"/>
          <w:sz w:val="22"/>
          <w:szCs w:val="16"/>
          <w:lang w:eastAsia="it-IT"/>
        </w:rPr>
        <w:t>“</w:t>
      </w:r>
      <w:r w:rsidRPr="00C2619B">
        <w:rPr>
          <w:bCs/>
          <w:color w:val="484848"/>
          <w:spacing w:val="-3"/>
          <w:kern w:val="36"/>
          <w:sz w:val="22"/>
          <w:szCs w:val="16"/>
          <w:lang w:eastAsia="it-IT"/>
        </w:rPr>
        <w:t xml:space="preserve">I paesi del </w:t>
      </w:r>
      <w:r>
        <w:rPr>
          <w:bCs/>
          <w:color w:val="484848"/>
          <w:spacing w:val="-3"/>
          <w:kern w:val="36"/>
          <w:sz w:val="22"/>
          <w:szCs w:val="16"/>
          <w:lang w:eastAsia="it-IT"/>
        </w:rPr>
        <w:t>s</w:t>
      </w:r>
      <w:r w:rsidRPr="00C2619B">
        <w:rPr>
          <w:bCs/>
          <w:color w:val="484848"/>
          <w:spacing w:val="-3"/>
          <w:kern w:val="36"/>
          <w:sz w:val="22"/>
          <w:szCs w:val="16"/>
          <w:lang w:eastAsia="it-IT"/>
        </w:rPr>
        <w:t>ud hanno registrato un forte e improvviso innalzamento del livello di istruzione volto a recuperare un altrettanto forte ritardo, ricorda la ricercatrice Marie Duru-Bellat</w:t>
      </w:r>
      <w:r>
        <w:rPr>
          <w:bCs/>
          <w:color w:val="484848"/>
          <w:spacing w:val="-3"/>
          <w:kern w:val="36"/>
          <w:sz w:val="22"/>
          <w:szCs w:val="16"/>
          <w:lang w:eastAsia="it-IT"/>
        </w:rPr>
        <w:t>”</w:t>
      </w:r>
      <w:r w:rsidRPr="00C2619B">
        <w:rPr>
          <w:bCs/>
          <w:color w:val="484848"/>
          <w:spacing w:val="-3"/>
          <w:kern w:val="36"/>
          <w:sz w:val="22"/>
          <w:szCs w:val="16"/>
          <w:lang w:eastAsia="it-IT"/>
        </w:rPr>
        <w:t xml:space="preserve">. Un dramma dove il </w:t>
      </w:r>
      <w:r>
        <w:rPr>
          <w:bCs/>
          <w:color w:val="484848"/>
          <w:spacing w:val="-3"/>
          <w:kern w:val="36"/>
          <w:sz w:val="22"/>
          <w:szCs w:val="16"/>
          <w:lang w:eastAsia="it-IT"/>
        </w:rPr>
        <w:t>“pezzo di carta”</w:t>
      </w:r>
      <w:r w:rsidRPr="00C2619B">
        <w:rPr>
          <w:bCs/>
          <w:color w:val="484848"/>
          <w:spacing w:val="-3"/>
          <w:kern w:val="36"/>
          <w:sz w:val="22"/>
          <w:szCs w:val="16"/>
          <w:lang w:eastAsia="it-IT"/>
        </w:rPr>
        <w:t xml:space="preserve"> è </w:t>
      </w:r>
      <w:r>
        <w:rPr>
          <w:bCs/>
          <w:color w:val="484848"/>
          <w:spacing w:val="-3"/>
          <w:kern w:val="36"/>
          <w:sz w:val="22"/>
          <w:szCs w:val="16"/>
          <w:lang w:eastAsia="it-IT"/>
        </w:rPr>
        <w:t xml:space="preserve">diventato </w:t>
      </w:r>
      <w:r w:rsidRPr="00C2619B">
        <w:rPr>
          <w:bCs/>
          <w:color w:val="484848"/>
          <w:spacing w:val="-3"/>
          <w:kern w:val="36"/>
          <w:sz w:val="22"/>
          <w:szCs w:val="16"/>
          <w:lang w:eastAsia="it-IT"/>
        </w:rPr>
        <w:t>una religione e dove permane una netta spaccatura tra università e mondo del lavoro, l’opposto di quanto avviene nei paesi anglosassoni e scandinavi.</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 xml:space="preserve">In Danimarca, ad esempio, paese modello in termini di politiche giovanili, la </w:t>
      </w:r>
      <w:r>
        <w:rPr>
          <w:bCs/>
          <w:color w:val="484848"/>
          <w:spacing w:val="-3"/>
          <w:kern w:val="36"/>
          <w:sz w:val="22"/>
          <w:szCs w:val="16"/>
          <w:lang w:eastAsia="it-IT"/>
        </w:rPr>
        <w:t xml:space="preserve">vicinanza </w:t>
      </w:r>
      <w:r w:rsidRPr="00C2619B">
        <w:rPr>
          <w:bCs/>
          <w:color w:val="484848"/>
          <w:spacing w:val="-3"/>
          <w:kern w:val="36"/>
          <w:sz w:val="22"/>
          <w:szCs w:val="16"/>
          <w:lang w:eastAsia="it-IT"/>
        </w:rPr>
        <w:t>tra giovani e mondo del lavoro risulta maggiore per via d</w:t>
      </w:r>
      <w:r>
        <w:rPr>
          <w:bCs/>
          <w:color w:val="484848"/>
          <w:spacing w:val="-3"/>
          <w:kern w:val="36"/>
          <w:sz w:val="22"/>
          <w:szCs w:val="16"/>
          <w:lang w:eastAsia="it-IT"/>
        </w:rPr>
        <w:t>ell’utilizzo d</w:t>
      </w:r>
      <w:r w:rsidRPr="00C2619B">
        <w:rPr>
          <w:bCs/>
          <w:color w:val="484848"/>
          <w:spacing w:val="-3"/>
          <w:kern w:val="36"/>
          <w:sz w:val="22"/>
          <w:szCs w:val="16"/>
          <w:lang w:eastAsia="it-IT"/>
        </w:rPr>
        <w:t>i strumenti quali i tirocini e della presenza delle imprese all’interno delle università. Lì, infatti, ogni diciottenne usufruisce di una borsa di studio distribuita sotto forma di 72 buoni mensili (per un importo complessivo di circa 1.000 euro) che ognuno può utilizzare a suo piacimento e senza limiti di età. Come in Gran Bretagna, il lavoro studentesco è la regola, e l'autonomia, la norma.</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Nulla di tutto ciò scendendo verso Sud: Spagna, Italia e Grecia non hanno difatt</w:t>
      </w:r>
      <w:r>
        <w:rPr>
          <w:bCs/>
          <w:color w:val="484848"/>
          <w:spacing w:val="-3"/>
          <w:kern w:val="36"/>
          <w:sz w:val="22"/>
          <w:szCs w:val="16"/>
          <w:lang w:eastAsia="it-IT"/>
        </w:rPr>
        <w:t xml:space="preserve">i </w:t>
      </w:r>
      <w:r w:rsidRPr="00C2619B">
        <w:rPr>
          <w:bCs/>
          <w:color w:val="484848"/>
          <w:spacing w:val="-3"/>
          <w:kern w:val="36"/>
          <w:sz w:val="22"/>
          <w:szCs w:val="16"/>
          <w:lang w:eastAsia="it-IT"/>
        </w:rPr>
        <w:t>sviluppato politiche di aiuto volte al raggiungimento di una certa autonomia dei giovani, avendo puntano, come dicono gli esperti, sui “trasferimenti familiari”, ovvero sull’aiuto offerto alle famiglie che, a loro volta, aiutano intanto i giovani.</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Non c'è quindi da stupirsi se queste “generazioni</w:t>
      </w:r>
      <w:r>
        <w:rPr>
          <w:bCs/>
          <w:color w:val="484848"/>
          <w:spacing w:val="-3"/>
          <w:kern w:val="36"/>
          <w:sz w:val="22"/>
          <w:szCs w:val="16"/>
          <w:lang w:eastAsia="it-IT"/>
        </w:rPr>
        <w:t xml:space="preserve"> </w:t>
      </w:r>
      <w:r w:rsidRPr="00C2619B">
        <w:rPr>
          <w:bCs/>
          <w:color w:val="484848"/>
          <w:spacing w:val="-3"/>
          <w:kern w:val="36"/>
          <w:sz w:val="22"/>
          <w:szCs w:val="16"/>
          <w:lang w:eastAsia="it-IT"/>
        </w:rPr>
        <w:t>canguro” si aggrappano alla famiglia, rimandando il momento in cui costruirsene una</w:t>
      </w:r>
      <w:r>
        <w:rPr>
          <w:bCs/>
          <w:color w:val="484848"/>
          <w:spacing w:val="-3"/>
          <w:kern w:val="36"/>
          <w:sz w:val="22"/>
          <w:szCs w:val="16"/>
          <w:lang w:eastAsia="it-IT"/>
        </w:rPr>
        <w:t xml:space="preserve"> tutta loro</w:t>
      </w:r>
      <w:r w:rsidRPr="00C2619B">
        <w:rPr>
          <w:bCs/>
          <w:color w:val="484848"/>
          <w:spacing w:val="-3"/>
          <w:kern w:val="36"/>
          <w:sz w:val="22"/>
          <w:szCs w:val="16"/>
          <w:lang w:eastAsia="it-IT"/>
        </w:rPr>
        <w:t>. In Italia, il tasso di natalità è di 1,32 figli per donna, 1,39 in Grecia e 1,38 in Spagna. I “bamboccioni” italiani vanno raramente fuori di casa prima dei 30 anni, similarmente a greci, spagnoli e portoghesi che rimangono sotto il tetto domestico mediamente fino all’età di 27 anni (in Francia la media è di 23).</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bCs/>
          <w:color w:val="484848"/>
          <w:spacing w:val="-3"/>
          <w:kern w:val="36"/>
          <w:sz w:val="22"/>
          <w:szCs w:val="16"/>
          <w:lang w:eastAsia="it-IT"/>
        </w:rPr>
      </w:pPr>
      <w:r w:rsidRPr="00C2619B">
        <w:rPr>
          <w:bCs/>
          <w:color w:val="484848"/>
          <w:spacing w:val="-3"/>
          <w:kern w:val="36"/>
          <w:sz w:val="22"/>
          <w:szCs w:val="16"/>
          <w:lang w:eastAsia="it-IT"/>
        </w:rPr>
        <w:t xml:space="preserve">In Spagna, dove a tutto ciò si aggiunge l'ossessione per la proprietà, </w:t>
      </w:r>
      <w:r>
        <w:rPr>
          <w:bCs/>
          <w:color w:val="484848"/>
          <w:spacing w:val="-3"/>
          <w:kern w:val="36"/>
          <w:sz w:val="22"/>
          <w:szCs w:val="16"/>
          <w:lang w:eastAsia="it-IT"/>
        </w:rPr>
        <w:t>“</w:t>
      </w:r>
      <w:r w:rsidRPr="00C2619B">
        <w:rPr>
          <w:bCs/>
          <w:color w:val="484848"/>
          <w:spacing w:val="-3"/>
          <w:kern w:val="36"/>
          <w:sz w:val="22"/>
          <w:szCs w:val="16"/>
          <w:lang w:eastAsia="it-IT"/>
        </w:rPr>
        <w:t xml:space="preserve">non esiste una vera e propria transizione tra la famiglia che si lascia e quella che ci si </w:t>
      </w:r>
      <w:r>
        <w:rPr>
          <w:bCs/>
          <w:color w:val="484848"/>
          <w:spacing w:val="-3"/>
          <w:kern w:val="36"/>
          <w:sz w:val="22"/>
          <w:szCs w:val="16"/>
          <w:lang w:eastAsia="it-IT"/>
        </w:rPr>
        <w:t>forma”</w:t>
      </w:r>
      <w:r w:rsidRPr="00C2619B">
        <w:rPr>
          <w:bCs/>
          <w:color w:val="484848"/>
          <w:spacing w:val="-3"/>
          <w:kern w:val="36"/>
          <w:sz w:val="22"/>
          <w:szCs w:val="16"/>
          <w:lang w:eastAsia="it-IT"/>
        </w:rPr>
        <w:t>, sintetizza Olivier Ferrand, autore, con Alessandro Cavalli e Vincenzo Cicchelli, di “Due paesi, due giov</w:t>
      </w:r>
      <w:r>
        <w:rPr>
          <w:bCs/>
          <w:color w:val="484848"/>
          <w:spacing w:val="-3"/>
          <w:kern w:val="36"/>
          <w:sz w:val="22"/>
          <w:szCs w:val="16"/>
          <w:lang w:eastAsia="it-IT"/>
        </w:rPr>
        <w:t>e</w:t>
      </w:r>
      <w:r w:rsidRPr="00C2619B">
        <w:rPr>
          <w:bCs/>
          <w:color w:val="484848"/>
          <w:spacing w:val="-3"/>
          <w:kern w:val="36"/>
          <w:sz w:val="22"/>
          <w:szCs w:val="16"/>
          <w:lang w:eastAsia="it-IT"/>
        </w:rPr>
        <w:t>n</w:t>
      </w:r>
      <w:r>
        <w:rPr>
          <w:bCs/>
          <w:color w:val="484848"/>
          <w:spacing w:val="-3"/>
          <w:kern w:val="36"/>
          <w:sz w:val="22"/>
          <w:szCs w:val="16"/>
          <w:lang w:eastAsia="it-IT"/>
        </w:rPr>
        <w:t>tù</w:t>
      </w:r>
      <w:r w:rsidRPr="00C2619B">
        <w:rPr>
          <w:bCs/>
          <w:color w:val="484848"/>
          <w:spacing w:val="-3"/>
          <w:kern w:val="36"/>
          <w:sz w:val="22"/>
          <w:szCs w:val="16"/>
          <w:lang w:eastAsia="it-IT"/>
        </w:rPr>
        <w:t>”.</w:t>
      </w:r>
    </w:p>
    <w:p w:rsidR="00EB515D" w:rsidRPr="00C2619B" w:rsidRDefault="00EB515D" w:rsidP="00EB515D">
      <w:pPr>
        <w:jc w:val="both"/>
        <w:rPr>
          <w:bCs/>
          <w:color w:val="484848"/>
          <w:spacing w:val="-3"/>
          <w:kern w:val="36"/>
          <w:sz w:val="22"/>
          <w:szCs w:val="16"/>
          <w:lang w:eastAsia="it-IT"/>
        </w:rPr>
      </w:pPr>
    </w:p>
    <w:p w:rsidR="00EB515D" w:rsidRPr="00C2619B" w:rsidRDefault="00EB515D" w:rsidP="00EB515D">
      <w:pPr>
        <w:jc w:val="both"/>
        <w:rPr>
          <w:sz w:val="22"/>
        </w:rPr>
      </w:pPr>
      <w:r w:rsidRPr="00C2619B">
        <w:rPr>
          <w:bCs/>
          <w:color w:val="484848"/>
          <w:spacing w:val="-3"/>
          <w:kern w:val="36"/>
          <w:sz w:val="22"/>
          <w:szCs w:val="16"/>
          <w:lang w:eastAsia="it-IT"/>
        </w:rPr>
        <w:t xml:space="preserve">Di fronte a un tale disastro, ciò che più sorprende gli osservatori è che i giovani non si ribellano neanche più. E </w:t>
      </w:r>
      <w:r>
        <w:rPr>
          <w:bCs/>
          <w:color w:val="484848"/>
          <w:spacing w:val="-3"/>
          <w:kern w:val="36"/>
          <w:sz w:val="22"/>
          <w:szCs w:val="16"/>
          <w:lang w:eastAsia="it-IT"/>
        </w:rPr>
        <w:t>quando</w:t>
      </w:r>
      <w:r w:rsidRPr="00C2619B">
        <w:rPr>
          <w:bCs/>
          <w:color w:val="484848"/>
          <w:spacing w:val="-3"/>
          <w:kern w:val="36"/>
          <w:sz w:val="22"/>
          <w:szCs w:val="16"/>
          <w:lang w:eastAsia="it-IT"/>
        </w:rPr>
        <w:t xml:space="preserve"> ciò accade, stando ai due sociologi italiani, </w:t>
      </w:r>
      <w:r>
        <w:rPr>
          <w:bCs/>
          <w:color w:val="484848"/>
          <w:spacing w:val="-3"/>
          <w:kern w:val="36"/>
          <w:sz w:val="22"/>
          <w:szCs w:val="16"/>
          <w:lang w:eastAsia="it-IT"/>
        </w:rPr>
        <w:t>“</w:t>
      </w:r>
      <w:r w:rsidRPr="00C2619B">
        <w:rPr>
          <w:bCs/>
          <w:color w:val="484848"/>
          <w:spacing w:val="-3"/>
          <w:kern w:val="36"/>
          <w:sz w:val="22"/>
          <w:szCs w:val="16"/>
          <w:lang w:eastAsia="it-IT"/>
        </w:rPr>
        <w:t>non è tanto per conquistarsi un futuro più radioso quanto per la paura di perdere quel poco che si ha</w:t>
      </w:r>
      <w:r>
        <w:rPr>
          <w:bCs/>
          <w:color w:val="484848"/>
          <w:spacing w:val="-3"/>
          <w:kern w:val="36"/>
          <w:sz w:val="22"/>
          <w:szCs w:val="16"/>
          <w:lang w:eastAsia="it-IT"/>
        </w:rPr>
        <w:t>”</w:t>
      </w:r>
      <w:r w:rsidRPr="00C2619B">
        <w:rPr>
          <w:bCs/>
          <w:color w:val="484848"/>
          <w:spacing w:val="-3"/>
          <w:kern w:val="36"/>
          <w:sz w:val="22"/>
          <w:szCs w:val="16"/>
          <w:lang w:eastAsia="it-IT"/>
        </w:rPr>
        <w:t>.</w:t>
      </w:r>
    </w:p>
    <w:p w:rsidR="00EE6803" w:rsidRDefault="00EB515D"/>
    <w:sectPr w:rsidR="00EE6803" w:rsidSect="00C107A1">
      <w:pgSz w:w="11900" w:h="16840"/>
      <w:pgMar w:top="1418"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C5373"/>
    <w:multiLevelType w:val="multilevel"/>
    <w:tmpl w:val="49D8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B515D"/>
    <w:rsid w:val="00EB515D"/>
  </w:rsids>
  <m:mathPr>
    <m:mathFont m:val="Wingdings 2"/>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15D"/>
    <w:rPr>
      <w:rFonts w:ascii="Arial" w:hAnsi="Arial"/>
    </w:rPr>
  </w:style>
  <w:style w:type="paragraph" w:styleId="Titolo1">
    <w:name w:val="heading 1"/>
    <w:basedOn w:val="Normale"/>
    <w:link w:val="Titolo1Carattere"/>
    <w:uiPriority w:val="9"/>
    <w:rsid w:val="00EB515D"/>
    <w:pPr>
      <w:spacing w:beforeLines="1" w:afterLines="1"/>
      <w:outlineLvl w:val="0"/>
    </w:pPr>
    <w:rPr>
      <w:rFonts w:ascii="Times" w:hAnsi="Times"/>
      <w:b/>
      <w:kern w:val="36"/>
      <w:sz w:val="48"/>
      <w:szCs w:val="20"/>
      <w:lang w:eastAsia="it-IT"/>
    </w:rPr>
  </w:style>
  <w:style w:type="paragraph" w:styleId="Titolo5">
    <w:name w:val="heading 5"/>
    <w:basedOn w:val="Normale"/>
    <w:link w:val="Titolo5Carattere"/>
    <w:uiPriority w:val="9"/>
    <w:rsid w:val="00EB515D"/>
    <w:pPr>
      <w:spacing w:beforeLines="1" w:afterLines="1"/>
      <w:outlineLvl w:val="4"/>
    </w:pPr>
    <w:rPr>
      <w:rFonts w:ascii="Times" w:hAnsi="Times"/>
      <w:b/>
      <w:sz w:val="20"/>
      <w:szCs w:val="20"/>
      <w:lang w:eastAsia="it-IT"/>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atterepredefinitoparagrafo"/>
    <w:link w:val="Titolo1"/>
    <w:uiPriority w:val="9"/>
    <w:rsid w:val="00EB515D"/>
    <w:rPr>
      <w:rFonts w:ascii="Times" w:hAnsi="Times"/>
      <w:b/>
      <w:kern w:val="36"/>
      <w:sz w:val="48"/>
      <w:szCs w:val="20"/>
      <w:lang w:eastAsia="it-IT"/>
    </w:rPr>
  </w:style>
  <w:style w:type="character" w:customStyle="1" w:styleId="Titolo5Carattere">
    <w:name w:val="Titolo 5 Carattere"/>
    <w:basedOn w:val="Caratterepredefinitoparagrafo"/>
    <w:link w:val="Titolo5"/>
    <w:uiPriority w:val="9"/>
    <w:rsid w:val="00EB515D"/>
    <w:rPr>
      <w:rFonts w:ascii="Times" w:hAnsi="Times"/>
      <w:b/>
      <w:sz w:val="20"/>
      <w:szCs w:val="20"/>
      <w:lang w:eastAsia="it-IT"/>
    </w:rPr>
  </w:style>
  <w:style w:type="paragraph" w:customStyle="1" w:styleId="mb-0">
    <w:name w:val="mb-0"/>
    <w:basedOn w:val="Normale"/>
    <w:rsid w:val="00EB515D"/>
    <w:pPr>
      <w:spacing w:beforeLines="1" w:afterLines="1"/>
    </w:pPr>
    <w:rPr>
      <w:rFonts w:ascii="Times" w:hAnsi="Times"/>
      <w:sz w:val="20"/>
      <w:szCs w:val="20"/>
      <w:lang w:eastAsia="it-IT"/>
    </w:rPr>
  </w:style>
  <w:style w:type="character" w:styleId="Collegamentoipertestuale">
    <w:name w:val="Hyperlink"/>
    <w:basedOn w:val="Caratterepredefinitoparagrafo"/>
    <w:uiPriority w:val="99"/>
    <w:rsid w:val="00EB515D"/>
    <w:rPr>
      <w:color w:val="0000FF"/>
      <w:u w:val="single"/>
    </w:rPr>
  </w:style>
  <w:style w:type="paragraph" w:styleId="NormaleWeb">
    <w:name w:val="Normal (Web)"/>
    <w:basedOn w:val="Normale"/>
    <w:uiPriority w:val="99"/>
    <w:rsid w:val="00EB515D"/>
    <w:pPr>
      <w:spacing w:beforeLines="1" w:afterLines="1"/>
    </w:pPr>
    <w:rPr>
      <w:rFonts w:ascii="Times" w:hAnsi="Times" w:cs="Times New Roman"/>
      <w:sz w:val="20"/>
      <w:szCs w:val="20"/>
      <w:lang w:eastAsia="it-IT"/>
    </w:rPr>
  </w:style>
  <w:style w:type="character" w:customStyle="1" w:styleId="apple-converted-space">
    <w:name w:val="apple-converted-space"/>
    <w:basedOn w:val="Caratterepredefinitoparagrafo"/>
    <w:rsid w:val="00EB515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dc:creator>
  <cp:keywords/>
  <cp:lastModifiedBy>Jean-Claude</cp:lastModifiedBy>
  <cp:revision>1</cp:revision>
  <dcterms:created xsi:type="dcterms:W3CDTF">2026-03-25T10:25:00Z</dcterms:created>
  <dcterms:modified xsi:type="dcterms:W3CDTF">2026-03-25T10:26:00Z</dcterms:modified>
</cp:coreProperties>
</file>