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2C225" w14:textId="77777777" w:rsidR="007E3FD4" w:rsidRPr="001126A7" w:rsidRDefault="001126A7">
      <w:pPr>
        <w:rPr>
          <w:rFonts w:ascii="Arial" w:hAnsi="Arial" w:cs="Arial"/>
          <w:sz w:val="24"/>
          <w:szCs w:val="24"/>
        </w:rPr>
      </w:pPr>
      <w:r w:rsidRPr="001126A7">
        <w:rPr>
          <w:rFonts w:ascii="Arial" w:hAnsi="Arial" w:cs="Arial"/>
          <w:sz w:val="24"/>
          <w:szCs w:val="24"/>
        </w:rPr>
        <w:t xml:space="preserve">Governatore della banca </w:t>
      </w:r>
      <w:proofErr w:type="spellStart"/>
      <w:r w:rsidRPr="001126A7">
        <w:rPr>
          <w:rFonts w:ascii="Arial" w:hAnsi="Arial" w:cs="Arial"/>
          <w:sz w:val="24"/>
          <w:szCs w:val="24"/>
        </w:rPr>
        <w:t>d’italia</w:t>
      </w:r>
      <w:proofErr w:type="spellEnd"/>
    </w:p>
    <w:p w14:paraId="0F0EC4C2" w14:textId="77777777" w:rsidR="001126A7" w:rsidRPr="001126A7" w:rsidRDefault="001126A7">
      <w:pPr>
        <w:rPr>
          <w:rFonts w:ascii="Arial" w:hAnsi="Arial" w:cs="Arial"/>
          <w:sz w:val="22"/>
          <w:szCs w:val="22"/>
        </w:rPr>
      </w:pPr>
    </w:p>
    <w:tbl>
      <w:tblPr>
        <w:tblStyle w:val="Grigliatabella"/>
        <w:tblW w:w="0" w:type="auto"/>
        <w:tblLook w:val="04A0" w:firstRow="1" w:lastRow="0" w:firstColumn="1" w:lastColumn="0" w:noHBand="0" w:noVBand="1"/>
      </w:tblPr>
      <w:tblGrid>
        <w:gridCol w:w="4814"/>
        <w:gridCol w:w="4814"/>
      </w:tblGrid>
      <w:tr w:rsidR="001126A7" w:rsidRPr="001126A7" w14:paraId="10868B85" w14:textId="77777777" w:rsidTr="001126A7">
        <w:tc>
          <w:tcPr>
            <w:tcW w:w="4814" w:type="dxa"/>
          </w:tcPr>
          <w:p w14:paraId="449F0C9C" w14:textId="77777777" w:rsidR="001126A7" w:rsidRDefault="001126A7" w:rsidP="001126A7">
            <w:pPr>
              <w:rPr>
                <w:rFonts w:ascii="Arial" w:eastAsia="Calibri" w:hAnsi="Arial" w:cs="Arial"/>
                <w:sz w:val="22"/>
                <w:szCs w:val="22"/>
              </w:rPr>
            </w:pPr>
          </w:p>
          <w:p w14:paraId="24B3971D"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L'invasione dell'Ucraina da parte della Russia continua ad avere pesanti ripercussioni sull'economia mondiale e a mettere in discussione l'integrazione economica e finanziaria internazionale e l'assetto multilaterale emerso dopo la fine della guerra fredda. Il ritorno alla situazione di tensioni e divisioni tra blocchi contrapposti di Paesi rappresenta un pericolo concreto per </w:t>
            </w:r>
            <w:proofErr w:type="gramStart"/>
            <w:r w:rsidRPr="001126A7">
              <w:rPr>
                <w:rFonts w:ascii="Arial" w:eastAsia="Calibri" w:hAnsi="Arial" w:cs="Arial"/>
                <w:sz w:val="22"/>
                <w:szCs w:val="22"/>
              </w:rPr>
              <w:t>il</w:t>
            </w:r>
            <w:proofErr w:type="gramEnd"/>
            <w:r w:rsidRPr="001126A7">
              <w:rPr>
                <w:rFonts w:ascii="Arial" w:eastAsia="Calibri" w:hAnsi="Arial" w:cs="Arial"/>
                <w:sz w:val="22"/>
                <w:szCs w:val="22"/>
              </w:rPr>
              <w:t xml:space="preserve"> sviluppo sostenibile e bilanciato di tutte le economie. Insieme con la violazione eclatante della sovranità e dell'integrità territoriale di una nazione libera, è vitale perseguire con forza, nonostante tutto, la cooperazione internazionale anche in campo economico e finanziario e ricercare un dialogo che accolga diversità di valori tra Paesi e culture sulla base del rispetto dei principi fondamentali della convivenza pacifica.</w:t>
            </w:r>
          </w:p>
          <w:p w14:paraId="18B8F03B" w14:textId="77777777" w:rsidR="001126A7" w:rsidRPr="001126A7" w:rsidRDefault="001126A7" w:rsidP="001126A7">
            <w:pPr>
              <w:rPr>
                <w:rFonts w:ascii="Arial" w:hAnsi="Arial" w:cs="Arial"/>
                <w:sz w:val="22"/>
                <w:szCs w:val="22"/>
              </w:rPr>
            </w:pPr>
          </w:p>
          <w:p w14:paraId="09E4BFDC"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Nel 2022 la crescita dell'economia mondiale è rimasta al di sotto del 3,5 per cento, un punto percentuale meno di quanto ci si attendeva alla vigilia dello scoppio del conflitto. Quest'anno, secondo il Fondo monetario internazionale, non raggiungerebbe il 3. L'inflazione ha sfiorato il 9 per cento a livello globale. Nei Paesi avanzati ha superato in media il 7 per cento, il valore più elevato da 40 anni.</w:t>
            </w:r>
          </w:p>
          <w:p w14:paraId="27A105C8" w14:textId="77777777" w:rsidR="001126A7" w:rsidRPr="001126A7" w:rsidRDefault="001126A7" w:rsidP="001126A7">
            <w:pPr>
              <w:rPr>
                <w:rFonts w:ascii="Arial" w:hAnsi="Arial" w:cs="Arial"/>
                <w:sz w:val="22"/>
                <w:szCs w:val="22"/>
              </w:rPr>
            </w:pPr>
          </w:p>
          <w:p w14:paraId="67679F99"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In alcune economie, in particolare negli Stati Uniti, l'accelerazione dei prezzi è stata sospinta in larga misura dall'impetuoso recupero dei consumi avviato nel 2021, mentre l'offerta era ancora frenata dalle restrizioni imposte dalla pandemia e dagli impedimenti allo scambio internazionale di materie prime e prodotti intermedi che ne erano conseguiti. In Europa, invece, l'inflazione ha trovato alimento soprattutto nei rincari dell'energia. Le previsioni di crescita dell'economia mondiale nei prossimi mesi restano incerte.</w:t>
            </w:r>
          </w:p>
          <w:p w14:paraId="0D629789" w14:textId="77777777" w:rsidR="001126A7" w:rsidRPr="001126A7" w:rsidRDefault="001126A7" w:rsidP="001126A7">
            <w:pPr>
              <w:rPr>
                <w:rFonts w:ascii="Arial" w:hAnsi="Arial" w:cs="Arial"/>
                <w:sz w:val="22"/>
                <w:szCs w:val="22"/>
              </w:rPr>
            </w:pPr>
          </w:p>
          <w:p w14:paraId="1A5C2C47"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Pesa il persistere del conflitto in Ucraina. Vi sono dubbi circa l'intensità della ripresa dell'economia cinese. Con la discesa dei prezzi dell'energia, l'inflazione è oggi inflessione, in Europa come negli Stati Uniti.</w:t>
            </w:r>
          </w:p>
          <w:p w14:paraId="5D1B5A89" w14:textId="77777777" w:rsidR="001126A7" w:rsidRPr="001126A7" w:rsidRDefault="001126A7" w:rsidP="001126A7">
            <w:pPr>
              <w:rPr>
                <w:rFonts w:ascii="Arial" w:hAnsi="Arial" w:cs="Arial"/>
                <w:sz w:val="22"/>
                <w:szCs w:val="22"/>
              </w:rPr>
            </w:pPr>
          </w:p>
          <w:p w14:paraId="7D6D2331"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La componente di fondo, calcolata cioè al netto dei beni energetici alimentari, si mantiene però elevata. L'emergere di fratture </w:t>
            </w:r>
            <w:r w:rsidRPr="001126A7">
              <w:rPr>
                <w:rFonts w:ascii="Arial" w:eastAsia="Calibri" w:hAnsi="Arial" w:cs="Arial"/>
                <w:sz w:val="22"/>
                <w:szCs w:val="22"/>
              </w:rPr>
              <w:lastRenderedPageBreak/>
              <w:t>nelle relazioni internazionali può avere effetti duraturi, influenzando le strategie aziendali di lungo periodo, incluse quelle di localizzazione delle produzioni. Dall'invasione dell'Ucraina, le indagini presso le imprese, non solo italiane, mostrano che in atto una tendenza, per ora moderata, alla regionalizzazione e la diversificazione delle catene di fornitura.</w:t>
            </w:r>
          </w:p>
          <w:p w14:paraId="5EEBFE71" w14:textId="77777777" w:rsidR="001126A7" w:rsidRPr="001126A7" w:rsidRDefault="001126A7" w:rsidP="001126A7">
            <w:pPr>
              <w:rPr>
                <w:rFonts w:ascii="Arial" w:hAnsi="Arial" w:cs="Arial"/>
                <w:sz w:val="22"/>
                <w:szCs w:val="22"/>
              </w:rPr>
            </w:pPr>
          </w:p>
          <w:p w14:paraId="1E8D27C5"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Almeno in Italia, la tendenza si accentua tra le aziende più esposte verso la Cina. La sicurezza nazionale può essere tutelata, evitando politiche protezionistiche generalizzate, che rafforzerebbero la tendenza all'aumento delle barriere degli scambi commerciali e agli investimenti diretti esteri, emersa nell'ultimo quinquennio. Negli ultimi trent'anni, l'apertura dei mercati ha fornito un contributo fondamentale al benessere, non solo economico, di un'ampia parte della popolazione mondiale.</w:t>
            </w:r>
          </w:p>
          <w:p w14:paraId="283B6791" w14:textId="77777777" w:rsidR="001126A7" w:rsidRPr="001126A7" w:rsidRDefault="001126A7" w:rsidP="001126A7">
            <w:pPr>
              <w:rPr>
                <w:rFonts w:ascii="Arial" w:hAnsi="Arial" w:cs="Arial"/>
                <w:sz w:val="22"/>
                <w:szCs w:val="22"/>
              </w:rPr>
            </w:pPr>
          </w:p>
          <w:p w14:paraId="0A00E598"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Il numero di persone in condizioni di povertà estrema è sceso da quasi 2 miliardi a meno di 700 milioni. I miglioramenti sono stati specialmente evidenti per le economie che in questo periodo si sono pienamente integrate nel commercio internazionale e nelle catene globali del valore. La globalizzazione e l'innovazione tecnologica che l'ha sostenuta e accompagnata sono stati dunque una straordinaria occasione di sviluppo.</w:t>
            </w:r>
          </w:p>
          <w:p w14:paraId="5F74A95F" w14:textId="77777777" w:rsidR="001126A7" w:rsidRPr="001126A7" w:rsidRDefault="001126A7" w:rsidP="001126A7">
            <w:pPr>
              <w:rPr>
                <w:rFonts w:ascii="Arial" w:hAnsi="Arial" w:cs="Arial"/>
                <w:sz w:val="22"/>
                <w:szCs w:val="22"/>
              </w:rPr>
            </w:pPr>
          </w:p>
          <w:p w14:paraId="19928159"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Nei Paesi avanzati, tuttavia, hanno determinato anche una minore stabilità delle occupazioni e, in alcuni casi, un aumento della disuguaglianza, cui le politiche pubbliche non hanno saputo dare una risposta adeguata. Sarebbe un errore sottovalutare i benefici dell'integrazione dei mercati, in particolare in un'economia aperta come la nostra. Né si può dimenticare che le sfide che vanno oggi affrontate, dalla lotta al cambiamento climatico al contrasto delle pandemie, dalla riduzione della povertà alla gestione delle pressioni migratorie, hanno natura globale, non possono essere risolte che con azioni coordinate a tale livello.</w:t>
            </w:r>
          </w:p>
          <w:p w14:paraId="2478F306" w14:textId="77777777" w:rsidR="001126A7" w:rsidRPr="001126A7" w:rsidRDefault="001126A7" w:rsidP="001126A7">
            <w:pPr>
              <w:rPr>
                <w:rFonts w:ascii="Arial" w:hAnsi="Arial" w:cs="Arial"/>
                <w:sz w:val="22"/>
                <w:szCs w:val="22"/>
              </w:rPr>
            </w:pPr>
          </w:p>
          <w:p w14:paraId="4F0FEFCA"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Sul piano esterno è dunque necessario preservare il funzionamento delle istituzioni multilaterali e ridare forza alla cooperazione internazionale. Ma occorre, sul piano interno, perseguire misure economiche effettivamente in grado di migliorare il benessere di tutti i cittadini, accompagnandole con un'efficace </w:t>
            </w:r>
            <w:r w:rsidRPr="001126A7">
              <w:rPr>
                <w:rFonts w:ascii="Arial" w:eastAsia="Calibri" w:hAnsi="Arial" w:cs="Arial"/>
                <w:sz w:val="22"/>
                <w:szCs w:val="22"/>
              </w:rPr>
              <w:lastRenderedPageBreak/>
              <w:t>comunicazione di strumenti e obiettivi. Le politiche europee mostrano che si può rinsaldare la fiducia nei benefici dell'integrazione economica internazionale.</w:t>
            </w:r>
          </w:p>
          <w:p w14:paraId="316F0495" w14:textId="77777777" w:rsidR="001126A7" w:rsidRPr="001126A7" w:rsidRDefault="001126A7" w:rsidP="001126A7">
            <w:pPr>
              <w:rPr>
                <w:rFonts w:ascii="Arial" w:hAnsi="Arial" w:cs="Arial"/>
                <w:sz w:val="22"/>
                <w:szCs w:val="22"/>
              </w:rPr>
            </w:pPr>
          </w:p>
          <w:p w14:paraId="0B0F86B3"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Nei sondaggi dell'Eurobarometro, il sostegno del pubblico per il processo di integrazione del nostro continente, deterioratosi nel decennio precedente al voto sull'uscita del Regno Unito dall'Unione Europea, è tornato a crescere negli anni più recenti. Questo ha riflesso anche le misure adottate per sostenere la ripresa post-pandemica e, in particolare, il programma </w:t>
            </w:r>
            <w:proofErr w:type="spellStart"/>
            <w:r w:rsidRPr="001126A7">
              <w:rPr>
                <w:rFonts w:ascii="Arial" w:eastAsia="Calibri" w:hAnsi="Arial" w:cs="Arial"/>
                <w:sz w:val="22"/>
                <w:szCs w:val="22"/>
              </w:rPr>
              <w:t>Next</w:t>
            </w:r>
            <w:proofErr w:type="spellEnd"/>
            <w:r w:rsidRPr="001126A7">
              <w:rPr>
                <w:rFonts w:ascii="Arial" w:eastAsia="Calibri" w:hAnsi="Arial" w:cs="Arial"/>
                <w:sz w:val="22"/>
                <w:szCs w:val="22"/>
              </w:rPr>
              <w:t xml:space="preserve"> Generation EU. L'inflazione al consumo è salita all'8,4% in media d'anno.</w:t>
            </w:r>
          </w:p>
          <w:p w14:paraId="6DAF27D6" w14:textId="77777777" w:rsidR="001126A7" w:rsidRPr="001126A7" w:rsidRDefault="001126A7" w:rsidP="001126A7">
            <w:pPr>
              <w:rPr>
                <w:rFonts w:ascii="Arial" w:hAnsi="Arial" w:cs="Arial"/>
                <w:sz w:val="22"/>
                <w:szCs w:val="22"/>
              </w:rPr>
            </w:pPr>
          </w:p>
          <w:p w14:paraId="73984063"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Ha toccato una punta del 16 nei 12 mesi terminanti ottobre. Il rincaro delle materie prime si è gradualmente trasmesso ai prezzi degli altri beni e dei servizi. Oltre ai tre quarti della crescita dell'Indice Generale dei Prezzi al Consumo, sarebbero direttamente o indirettamente riconoscibili ai rincari dell'energia e a quelli delle derrate alimentari.</w:t>
            </w:r>
          </w:p>
          <w:p w14:paraId="32EB1BB7" w14:textId="77777777" w:rsidR="001126A7" w:rsidRPr="001126A7" w:rsidRDefault="001126A7" w:rsidP="001126A7">
            <w:pPr>
              <w:rPr>
                <w:rFonts w:ascii="Arial" w:hAnsi="Arial" w:cs="Arial"/>
                <w:sz w:val="22"/>
                <w:szCs w:val="22"/>
              </w:rPr>
            </w:pPr>
          </w:p>
          <w:p w14:paraId="0092F7CD"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Secondo le previsioni più recenti, dopo un aumento del 3,5% nel 2022, l'attività economica nell'area dell'euro rallenterebbe </w:t>
            </w:r>
            <w:proofErr w:type="spellStart"/>
            <w:r w:rsidRPr="001126A7">
              <w:rPr>
                <w:rFonts w:ascii="Arial" w:eastAsia="Calibri" w:hAnsi="Arial" w:cs="Arial"/>
                <w:sz w:val="22"/>
                <w:szCs w:val="22"/>
              </w:rPr>
              <w:t>sessibilmente</w:t>
            </w:r>
            <w:proofErr w:type="spellEnd"/>
            <w:r w:rsidRPr="001126A7">
              <w:rPr>
                <w:rFonts w:ascii="Arial" w:eastAsia="Calibri" w:hAnsi="Arial" w:cs="Arial"/>
                <w:sz w:val="22"/>
                <w:szCs w:val="22"/>
              </w:rPr>
              <w:t xml:space="preserve"> nella media di quest'anno, per tornare poi a espandersi in misura più sostenuta. La risposta del Consiglio Direttivo all'accelerazione dei prezzi è stata pienamente in linea con il graduale volversi della situazione e dei dati che via via si rendevano disponibili. Va ricordato che nel giugno del 2021, nonostante i rincari del gas naturale e le strozzature nell'offerta di prodotti intermedi, l'inflazione complessiva nell'area dell'euro non aveva ancora raggiunto il 2%, quella di fondo era inferiore all'1%.</w:t>
            </w:r>
          </w:p>
          <w:p w14:paraId="21392F6B" w14:textId="77777777" w:rsidR="001126A7" w:rsidRPr="001126A7" w:rsidRDefault="001126A7" w:rsidP="001126A7">
            <w:pPr>
              <w:rPr>
                <w:rFonts w:ascii="Arial" w:hAnsi="Arial" w:cs="Arial"/>
                <w:sz w:val="22"/>
                <w:szCs w:val="22"/>
              </w:rPr>
            </w:pPr>
          </w:p>
          <w:p w14:paraId="29DCDB57"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Nello stesso periodo l'inflazione si collocava attorno al 5% negli Stati Uniti. L'incremento successivo dell'inflazione nell'area dell'euro, straordinario e in gran parte imprevisto, è </w:t>
            </w:r>
            <w:proofErr w:type="spellStart"/>
            <w:r w:rsidRPr="001126A7">
              <w:rPr>
                <w:rFonts w:ascii="Arial" w:eastAsia="Calibri" w:hAnsi="Arial" w:cs="Arial"/>
                <w:sz w:val="22"/>
                <w:szCs w:val="22"/>
              </w:rPr>
              <w:t>dipreso</w:t>
            </w:r>
            <w:proofErr w:type="spellEnd"/>
            <w:r w:rsidRPr="001126A7">
              <w:rPr>
                <w:rFonts w:ascii="Arial" w:eastAsia="Calibri" w:hAnsi="Arial" w:cs="Arial"/>
                <w:sz w:val="22"/>
                <w:szCs w:val="22"/>
              </w:rPr>
              <w:t xml:space="preserve"> soprattutto dal balzo altrettanto eccezionale dei prezzi dell'energia. L'aggressione russa all'Ucraina ha trasformato uno shock temporaneo sui prezzi in un fenomeno ben più intenso e persistente.</w:t>
            </w:r>
          </w:p>
          <w:p w14:paraId="18D751D1" w14:textId="77777777" w:rsidR="001126A7" w:rsidRPr="001126A7" w:rsidRDefault="001126A7" w:rsidP="001126A7">
            <w:pPr>
              <w:rPr>
                <w:rFonts w:ascii="Arial" w:hAnsi="Arial" w:cs="Arial"/>
                <w:sz w:val="22"/>
                <w:szCs w:val="22"/>
              </w:rPr>
            </w:pPr>
          </w:p>
          <w:p w14:paraId="176A7969"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Nonostante tutte le incertezze connesse con il conflitto, la normalizzazione monetaria è stata rapida. I rendimenti di mercato si sono rapidamente adeguati al mutato orientamento della politica monetaria. Dall'avvio del </w:t>
            </w:r>
            <w:r w:rsidRPr="001126A7">
              <w:rPr>
                <w:rFonts w:ascii="Arial" w:eastAsia="Calibri" w:hAnsi="Arial" w:cs="Arial"/>
                <w:sz w:val="22"/>
                <w:szCs w:val="22"/>
              </w:rPr>
              <w:lastRenderedPageBreak/>
              <w:t>processo di normalizzazione, i tassi di interesse privi di rischio a un anno sono saliti da livelli di poco negativi all'attuale 3,7%, quelli a dieci anni da valori appena positivi al 2,9%.</w:t>
            </w:r>
          </w:p>
          <w:p w14:paraId="6AC06EFF" w14:textId="77777777" w:rsidR="001126A7" w:rsidRPr="001126A7" w:rsidRDefault="001126A7" w:rsidP="001126A7">
            <w:pPr>
              <w:rPr>
                <w:rFonts w:ascii="Arial" w:hAnsi="Arial" w:cs="Arial"/>
                <w:sz w:val="22"/>
                <w:szCs w:val="22"/>
              </w:rPr>
            </w:pPr>
          </w:p>
          <w:p w14:paraId="736F1785"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L'efficacia dell'azione del Consiglio Direttivo trova riscontro nell'evoluzione delle aspettative di inflazione, un ancora importante per le decisioni delle imprese sui prezzi e per la dinamica delle retribuzioni. Le attesi a più lungo termine, una misura della credibilità dell'azione della Banca Centrale, si mantengono in linea con la definizione e stabilità dei prezzi, mentre il rischio che l'inflazione resti troppo lungo superiore all'obiettivo si è decisamente ridimensionato rispetto al picco della metà del 2022. La sfida è impegnativa.</w:t>
            </w:r>
          </w:p>
          <w:p w14:paraId="07E63A9D" w14:textId="77777777" w:rsidR="001126A7" w:rsidRPr="001126A7" w:rsidRDefault="001126A7" w:rsidP="001126A7">
            <w:pPr>
              <w:rPr>
                <w:rFonts w:ascii="Arial" w:hAnsi="Arial" w:cs="Arial"/>
                <w:sz w:val="22"/>
                <w:szCs w:val="22"/>
              </w:rPr>
            </w:pPr>
          </w:p>
          <w:p w14:paraId="26633EBA"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Di fronte al violento shock determinato da rincari energetici, è necessario ricercare un equilibrio tra il rischio di una restrizione insufficiente, che potrebbe portare a un radicamento della dinamica inflazionistica nelle aspettative e nei processi di determinazione dei redditi nominali, e quello di un rinascimento sproporzionato, che potrebbe ripercuotersi troppo intensamente sull'attività economica. L'orientamento della politica monetaria deve continuare a essere definito in modo da garantire un rientro progressivo, ma non lento, dell'inflazione verso l'obiettivo. L'impatto delle nostre decisioni sull'economia e sui prezzi dovrebbe manifestarsi pienamente nei prossimi mesi.</w:t>
            </w:r>
          </w:p>
          <w:p w14:paraId="486A270F" w14:textId="77777777" w:rsidR="001126A7" w:rsidRPr="001126A7" w:rsidRDefault="001126A7" w:rsidP="001126A7">
            <w:pPr>
              <w:rPr>
                <w:rFonts w:ascii="Arial" w:hAnsi="Arial" w:cs="Arial"/>
                <w:sz w:val="22"/>
                <w:szCs w:val="22"/>
              </w:rPr>
            </w:pPr>
          </w:p>
          <w:p w14:paraId="2B693AD9"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Dopo aver portato i tassi di riferimento in territorio restrittivo, occorre ora procedere con la necessaria gradualità. Il ritorno dell'inflazione su livelli in linea con l'obiettivo sarà più rapido e meno costoso se tutti, imprese, lavoratori, governi, contribuiranno a questo fine, rafforzando l'efficacia dell'indispensabile, ancorché equilibrata normalizzazione monetaria. Nelle contrattazioni nel mercato del lavoro va evitato un approccio puramente retrospettivo.</w:t>
            </w:r>
          </w:p>
          <w:p w14:paraId="7F036CD9" w14:textId="77777777" w:rsidR="001126A7" w:rsidRPr="001126A7" w:rsidRDefault="001126A7" w:rsidP="001126A7">
            <w:pPr>
              <w:rPr>
                <w:rFonts w:ascii="Arial" w:hAnsi="Arial" w:cs="Arial"/>
                <w:sz w:val="22"/>
                <w:szCs w:val="22"/>
              </w:rPr>
            </w:pPr>
          </w:p>
          <w:p w14:paraId="4173AEC1" w14:textId="77777777" w:rsidR="001126A7" w:rsidRDefault="001126A7" w:rsidP="001126A7">
            <w:pPr>
              <w:rPr>
                <w:rFonts w:ascii="Arial" w:eastAsia="Calibri" w:hAnsi="Arial" w:cs="Arial"/>
                <w:sz w:val="22"/>
                <w:szCs w:val="22"/>
              </w:rPr>
            </w:pPr>
            <w:r w:rsidRPr="001126A7">
              <w:rPr>
                <w:rFonts w:ascii="Arial" w:eastAsia="Calibri" w:hAnsi="Arial" w:cs="Arial"/>
                <w:sz w:val="22"/>
                <w:szCs w:val="22"/>
              </w:rPr>
              <w:t>Quello che occorre per un recupero del potere d'acquisto è una crescita più sostenuta della produttività. Gli ultimi anni sono stati di grande rilievo per le prospettive dell'Unione europea. Soprattutto si è messa in luce l'importanza di poter contare, oltre che sulla politica monetaria unica, sull'azione di una vera e propria politica economica comune.</w:t>
            </w:r>
          </w:p>
          <w:p w14:paraId="0E03E793" w14:textId="77777777" w:rsidR="001126A7" w:rsidRDefault="001126A7" w:rsidP="001126A7">
            <w:pPr>
              <w:rPr>
                <w:rFonts w:ascii="Arial" w:hAnsi="Arial" w:cs="Arial"/>
                <w:sz w:val="22"/>
                <w:szCs w:val="22"/>
              </w:rPr>
            </w:pPr>
          </w:p>
          <w:p w14:paraId="46D7B47D" w14:textId="77777777" w:rsidR="001126A7" w:rsidRPr="001126A7" w:rsidRDefault="001126A7" w:rsidP="001126A7">
            <w:pPr>
              <w:rPr>
                <w:rFonts w:ascii="Arial" w:hAnsi="Arial" w:cs="Arial"/>
                <w:sz w:val="22"/>
                <w:szCs w:val="22"/>
              </w:rPr>
            </w:pPr>
          </w:p>
          <w:p w14:paraId="5C340131" w14:textId="77777777" w:rsidR="001126A7" w:rsidRPr="001126A7" w:rsidRDefault="001126A7" w:rsidP="001126A7">
            <w:pPr>
              <w:rPr>
                <w:rFonts w:ascii="Arial" w:hAnsi="Arial" w:cs="Arial"/>
                <w:sz w:val="22"/>
                <w:szCs w:val="22"/>
              </w:rPr>
            </w:pPr>
          </w:p>
          <w:p w14:paraId="521E9036"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Per portare a termine il cammino avviato con l'adozione dell'euro sono però necessari altri sostanziali progressi. Solo con le più recenti, gravi emergenze, si sono superati in modo deciso dubbi ed esitazioni. La risposta delle politiche europee alla crisi pandemica è stata forte e tempestiva.</w:t>
            </w:r>
          </w:p>
          <w:p w14:paraId="798F5888" w14:textId="77777777" w:rsidR="001126A7" w:rsidRPr="001126A7" w:rsidRDefault="001126A7" w:rsidP="001126A7">
            <w:pPr>
              <w:rPr>
                <w:rFonts w:ascii="Arial" w:hAnsi="Arial" w:cs="Arial"/>
                <w:sz w:val="22"/>
                <w:szCs w:val="22"/>
              </w:rPr>
            </w:pPr>
          </w:p>
          <w:p w14:paraId="0B444F59"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Questi interventi hanno un grande rilievo non solo per la loro notevole dimensione, ma soprattutto perché testimoniano la capacità delle istituzioni e degli Stati dell'Unione europea di assumere responsabilità condivise per affrontare sfide comuni, in primo luogo nell'interesse delle generazioni future. Pur avendo effetti intrinsecamente strutturali, essi sono tuttavia per lo più di natura temporanea. Se le misure nazionali finanziate con questi programmi avranno successo, potranno costituire i primi passi nella direzione di un'Unione economica pienamente integrata.</w:t>
            </w:r>
          </w:p>
          <w:p w14:paraId="56A4B936" w14:textId="77777777" w:rsidR="001126A7" w:rsidRPr="001126A7" w:rsidRDefault="001126A7" w:rsidP="001126A7">
            <w:pPr>
              <w:rPr>
                <w:rFonts w:ascii="Arial" w:hAnsi="Arial" w:cs="Arial"/>
                <w:sz w:val="22"/>
                <w:szCs w:val="22"/>
              </w:rPr>
            </w:pPr>
          </w:p>
          <w:p w14:paraId="08622915"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I Paesi che beneficiano maggiormente di queste risorse, il nostro in primo luogo, oltre ad avere un'occasione storica per affrontare problemi di lunga durata, hanno anche l'onere di dimostrare, con risultati tangibili, l'effettiva utilità di una tale maggiore integrazione. Per quanto riguarda le politiche di bilancio, la riforma dovrebbe basarsi su due pilastri fondamentali. Il ripensamento delle regole e la costituzione di un'effettiva capacità di bilancio a fronte di risorse proprie e, quando necessarie, con emissione di debito.</w:t>
            </w:r>
          </w:p>
          <w:p w14:paraId="38CEC3A6" w14:textId="77777777" w:rsidR="001126A7" w:rsidRPr="001126A7" w:rsidRDefault="001126A7" w:rsidP="001126A7">
            <w:pPr>
              <w:rPr>
                <w:rFonts w:ascii="Arial" w:hAnsi="Arial" w:cs="Arial"/>
                <w:sz w:val="22"/>
                <w:szCs w:val="22"/>
              </w:rPr>
            </w:pPr>
          </w:p>
          <w:p w14:paraId="6F3499E8"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Sul primo aspetto si è compiuto un significativo passo in avanti, con la presentazione in aprile della proposta di riforma della Commissione europea. Ma il rispetto delle regole di bilancio e la loro credibilità sono negli interessi non solo dell'Unione nel suo complesso, bensì anche di ciascuno degli Stati che ne fanno parte. Sono cruciali per l'Italia, che non può che mirare a ridurre nel tempo un debito pubblico troppo elevato.</w:t>
            </w:r>
          </w:p>
          <w:p w14:paraId="50015AFB" w14:textId="77777777" w:rsidR="001126A7" w:rsidRPr="001126A7" w:rsidRDefault="001126A7" w:rsidP="001126A7">
            <w:pPr>
              <w:rPr>
                <w:rFonts w:ascii="Arial" w:hAnsi="Arial" w:cs="Arial"/>
                <w:sz w:val="22"/>
                <w:szCs w:val="22"/>
              </w:rPr>
            </w:pPr>
          </w:p>
          <w:p w14:paraId="5F0C3935"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Sono coerenti con la disciplina di bilancio riconosciuta come necessaria dalla nostra Costituzione. L'introduzione di una capacità di bilancio sovranazionale assente nella proposta di riforma della Commissione consentirebbe di gestire in modo più efficiente sia shock che colpiscono singoli Paesi, sia eventi avversi </w:t>
            </w:r>
            <w:r w:rsidRPr="001126A7">
              <w:rPr>
                <w:rFonts w:ascii="Arial" w:eastAsia="Calibri" w:hAnsi="Arial" w:cs="Arial"/>
                <w:sz w:val="22"/>
                <w:szCs w:val="22"/>
              </w:rPr>
              <w:lastRenderedPageBreak/>
              <w:t>comuni a tutti, come la pandemia e la crisi energetica. Se gli ostacoli di ordine istituzionale e di natura politica che oggi si incontrano rendono difficile realizzare nell'immediato una piena Unione di bilancio, si può procedere in modo pragmatico, prendendo spunto degli strumenti varati durante l'emergenza pandemica.</w:t>
            </w:r>
          </w:p>
          <w:p w14:paraId="72FB80EA" w14:textId="77777777" w:rsidR="001126A7" w:rsidRPr="001126A7" w:rsidRDefault="001126A7" w:rsidP="001126A7">
            <w:pPr>
              <w:rPr>
                <w:rFonts w:ascii="Arial" w:hAnsi="Arial" w:cs="Arial"/>
                <w:sz w:val="22"/>
                <w:szCs w:val="22"/>
              </w:rPr>
            </w:pPr>
          </w:p>
          <w:p w14:paraId="358D88F8"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Non si può non sottolineare, infine, la necessità di portare a compimento l'Unione bancaria attraverso una revisione dell'attuale disciplina di gestione delle crisi, che renda quest'ultima più rapida ed efficace, nonché l'istituzione di uno schema unico di garanzia dei depositi. I recenti fenomeni di instabilità, osservati al di fuori dell'Unione europea, mostrano chiaramente l'importanza di raggiungere questi obiettivi. Non appena sarà pienamente operativa la sua riforma, il meccanismo europeo di stabilità, grazie alle risorse delle quali dispone, potrà svolgere un ruolo importante, fornendo una rete di sicurezza finanziaria al fondo di risoluzione unico.</w:t>
            </w:r>
          </w:p>
          <w:p w14:paraId="11CC6498" w14:textId="77777777" w:rsidR="001126A7" w:rsidRPr="001126A7" w:rsidRDefault="001126A7" w:rsidP="001126A7">
            <w:pPr>
              <w:rPr>
                <w:rFonts w:ascii="Arial" w:hAnsi="Arial" w:cs="Arial"/>
                <w:sz w:val="22"/>
                <w:szCs w:val="22"/>
              </w:rPr>
            </w:pPr>
          </w:p>
          <w:p w14:paraId="693BCE2B"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Gli episodi di crisi occorsi negli Stati Uniti e in Svizzera ci ricordano che le banche svolgono un'attività </w:t>
            </w:r>
            <w:proofErr w:type="spellStart"/>
            <w:r w:rsidRPr="001126A7">
              <w:rPr>
                <w:rFonts w:ascii="Arial" w:eastAsia="Calibri" w:hAnsi="Arial" w:cs="Arial"/>
                <w:sz w:val="22"/>
                <w:szCs w:val="22"/>
              </w:rPr>
              <w:t>intensicamente</w:t>
            </w:r>
            <w:proofErr w:type="spellEnd"/>
            <w:r w:rsidRPr="001126A7">
              <w:rPr>
                <w:rFonts w:ascii="Arial" w:eastAsia="Calibri" w:hAnsi="Arial" w:cs="Arial"/>
                <w:sz w:val="22"/>
                <w:szCs w:val="22"/>
              </w:rPr>
              <w:t xml:space="preserve"> rischiosa e che non è possibile azzerare la probabilità che si verifichino casi di dissesto. Il compito dell'istituzione e dell'autorità di vigilanza è di ridurre al minimo tale probabilità, definendo regole e intervenendo con presidi preventivi. Nella gestione delle crisi è cruciale disporre gli strumenti idonei per contenere gli effetti e i costi per la società ed evitare che eventi isolati assumano una dimensione sistemica, con conseguenze sulle prospettive di sviluppo economico e sociale.</w:t>
            </w:r>
          </w:p>
          <w:p w14:paraId="3661353E" w14:textId="77777777" w:rsidR="001126A7" w:rsidRPr="001126A7" w:rsidRDefault="001126A7" w:rsidP="001126A7">
            <w:pPr>
              <w:rPr>
                <w:rFonts w:ascii="Arial" w:hAnsi="Arial" w:cs="Arial"/>
                <w:sz w:val="22"/>
                <w:szCs w:val="22"/>
              </w:rPr>
            </w:pPr>
          </w:p>
          <w:p w14:paraId="4A445B66"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Nel comparto delle banche regionali statunitensi sono stati colpiti intermediari i cui modelli di business presentavano elementi di vulnerabilità, con un'eccessiva esposizione al rischio di rialzo delle tasse di interesse e una provvista molto concentrata e sbilanciata verso depositi a vista di elevato ammontare e quindi non assicurati. Nel sistema bancario dell'Unione Europea, anche grazie a una regolamentazione più stringente e un'attività di supervisione attenta alla sostenibilità </w:t>
            </w:r>
            <w:proofErr w:type="gramStart"/>
            <w:r w:rsidRPr="001126A7">
              <w:rPr>
                <w:rFonts w:ascii="Arial" w:eastAsia="Calibri" w:hAnsi="Arial" w:cs="Arial"/>
                <w:sz w:val="22"/>
                <w:szCs w:val="22"/>
              </w:rPr>
              <w:t>dei</w:t>
            </w:r>
            <w:proofErr w:type="gramEnd"/>
            <w:r w:rsidRPr="001126A7">
              <w:rPr>
                <w:rFonts w:ascii="Arial" w:eastAsia="Calibri" w:hAnsi="Arial" w:cs="Arial"/>
                <w:sz w:val="22"/>
                <w:szCs w:val="22"/>
              </w:rPr>
              <w:t xml:space="preserve"> operativi, non emergono segnali di situazioni analoghe a quelle statunitensi. In Italia, così come negli altri paesi dell'area dell'euro, non si sono registrati deflussi anomali di depositi.</w:t>
            </w:r>
          </w:p>
          <w:p w14:paraId="3B7323A8" w14:textId="77777777" w:rsidR="001126A7" w:rsidRPr="001126A7" w:rsidRDefault="001126A7" w:rsidP="001126A7">
            <w:pPr>
              <w:rPr>
                <w:rFonts w:ascii="Arial" w:hAnsi="Arial" w:cs="Arial"/>
                <w:sz w:val="22"/>
                <w:szCs w:val="22"/>
              </w:rPr>
            </w:pPr>
          </w:p>
          <w:p w14:paraId="4B2BC86F"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Nel suo insieme il sistema bancario si trova in condizioni sufficientemente buone. Lo scorso anno tutti i principali indicatori di bilancio si sono collocati su valori nell'aggregato soddisfacenti. In più casi sono migliorati.</w:t>
            </w:r>
          </w:p>
          <w:p w14:paraId="69B53372" w14:textId="77777777" w:rsidR="001126A7" w:rsidRPr="001126A7" w:rsidRDefault="001126A7" w:rsidP="001126A7">
            <w:pPr>
              <w:rPr>
                <w:rFonts w:ascii="Arial" w:hAnsi="Arial" w:cs="Arial"/>
                <w:sz w:val="22"/>
                <w:szCs w:val="22"/>
              </w:rPr>
            </w:pPr>
          </w:p>
          <w:p w14:paraId="6783968C"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L'incidenza dello stock di crediti deteriorati si è mantenuta stabile, su valori modesti e ormai in linea con la media europea. La redditività, a lungo depressa dai bassi tassi di interesse e dalle elevate perdite sui prestiti, è salita in misura significativa, beneficiando dell'aumento del margine di interesse. </w:t>
            </w:r>
            <w:proofErr w:type="gramStart"/>
            <w:r w:rsidRPr="001126A7">
              <w:rPr>
                <w:rFonts w:ascii="Arial" w:eastAsia="Calibri" w:hAnsi="Arial" w:cs="Arial"/>
                <w:sz w:val="22"/>
                <w:szCs w:val="22"/>
              </w:rPr>
              <w:t>E'</w:t>
            </w:r>
            <w:proofErr w:type="gramEnd"/>
            <w:r w:rsidRPr="001126A7">
              <w:rPr>
                <w:rFonts w:ascii="Arial" w:eastAsia="Calibri" w:hAnsi="Arial" w:cs="Arial"/>
                <w:sz w:val="22"/>
                <w:szCs w:val="22"/>
              </w:rPr>
              <w:t xml:space="preserve"> lievemente migliorata anche la posizione patrimoniale.</w:t>
            </w:r>
          </w:p>
          <w:p w14:paraId="3E33558C" w14:textId="77777777" w:rsidR="001126A7" w:rsidRPr="001126A7" w:rsidRDefault="001126A7" w:rsidP="001126A7">
            <w:pPr>
              <w:rPr>
                <w:rFonts w:ascii="Arial" w:hAnsi="Arial" w:cs="Arial"/>
                <w:sz w:val="22"/>
                <w:szCs w:val="22"/>
              </w:rPr>
            </w:pPr>
          </w:p>
          <w:p w14:paraId="5265A9C9"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Ma l'incertezza sulle prospettive economiche richiede prudenza. C'è da attendersi che il rallentamento ciclico e le più restrittive condizioni di finanziamento determinino un peggioramento della qualità del credito, con implicazioni sulle rettifiche di valore al momento ancora basse. La stabilità del sistema bancario italiano è il risultato di un intenso processo, realizzato negli ultimi dieci anni, di risanamento dei bilanci, di miglioramento dell'efficienza, di rafforzamento del governo societario e dei controlli interni.</w:t>
            </w:r>
          </w:p>
          <w:p w14:paraId="212F5A44" w14:textId="77777777" w:rsidR="001126A7" w:rsidRPr="001126A7" w:rsidRDefault="001126A7" w:rsidP="001126A7">
            <w:pPr>
              <w:rPr>
                <w:rFonts w:ascii="Arial" w:hAnsi="Arial" w:cs="Arial"/>
                <w:sz w:val="22"/>
                <w:szCs w:val="22"/>
              </w:rPr>
            </w:pPr>
          </w:p>
          <w:p w14:paraId="30A698CD"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Un risultato che molti osservatori, anche autorevoli, dubitavano potesse essere raggiunto. Il percorso non è stato privo di difficoltà. In non pochi casi l'attuazione degli interventi tempestivi </w:t>
            </w:r>
            <w:proofErr w:type="gramStart"/>
            <w:r w:rsidRPr="001126A7">
              <w:rPr>
                <w:rFonts w:ascii="Arial" w:eastAsia="Calibri" w:hAnsi="Arial" w:cs="Arial"/>
                <w:sz w:val="22"/>
                <w:szCs w:val="22"/>
              </w:rPr>
              <w:t>è consentito</w:t>
            </w:r>
            <w:proofErr w:type="gramEnd"/>
            <w:r w:rsidRPr="001126A7">
              <w:rPr>
                <w:rFonts w:ascii="Arial" w:eastAsia="Calibri" w:hAnsi="Arial" w:cs="Arial"/>
                <w:sz w:val="22"/>
                <w:szCs w:val="22"/>
              </w:rPr>
              <w:t xml:space="preserve"> di gestire situazioni di fragilità attraverso aggregazioni con altri intermediari più robusti, cambiamento degli assetti proprietari, profonde revisioni e trasformazioni dei modelli di business.</w:t>
            </w:r>
          </w:p>
          <w:p w14:paraId="0240CFDC" w14:textId="77777777" w:rsidR="001126A7" w:rsidRPr="001126A7" w:rsidRDefault="001126A7" w:rsidP="001126A7">
            <w:pPr>
              <w:rPr>
                <w:rFonts w:ascii="Arial" w:hAnsi="Arial" w:cs="Arial"/>
                <w:sz w:val="22"/>
                <w:szCs w:val="22"/>
              </w:rPr>
            </w:pPr>
          </w:p>
          <w:p w14:paraId="0B72E72B"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In altri, alcuni dei quali riconducibili anche episodi di </w:t>
            </w:r>
            <w:proofErr w:type="spellStart"/>
            <w:r w:rsidRPr="001126A7">
              <w:rPr>
                <w:rFonts w:ascii="Arial" w:eastAsia="Calibri" w:hAnsi="Arial" w:cs="Arial"/>
                <w:sz w:val="22"/>
                <w:szCs w:val="22"/>
              </w:rPr>
              <w:t>malagestio</w:t>
            </w:r>
            <w:proofErr w:type="spellEnd"/>
            <w:r w:rsidRPr="001126A7">
              <w:rPr>
                <w:rFonts w:ascii="Arial" w:eastAsia="Calibri" w:hAnsi="Arial" w:cs="Arial"/>
                <w:sz w:val="22"/>
                <w:szCs w:val="22"/>
              </w:rPr>
              <w:t>, è stato inevitabile il ricorso a procedure di risoluzione o di liquidazione e concessione di attività e passività, che hanno interessato il 3% del totale degli attivi del sistema. In nessun caso, nonostante i vincoli posti dal quadro normativo europeo sui quali ci siamo espressi in passato, è stata messa a repentaglio la stabilità finanziaria. I depositanti sono stati tutelati.</w:t>
            </w:r>
          </w:p>
          <w:p w14:paraId="521B1199" w14:textId="77777777" w:rsidR="001126A7" w:rsidRPr="001126A7" w:rsidRDefault="001126A7" w:rsidP="001126A7">
            <w:pPr>
              <w:rPr>
                <w:rFonts w:ascii="Arial" w:hAnsi="Arial" w:cs="Arial"/>
                <w:sz w:val="22"/>
                <w:szCs w:val="22"/>
              </w:rPr>
            </w:pPr>
          </w:p>
          <w:p w14:paraId="737EF528"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Laddove necessario, si è fatto ricorso a risorse pubbliche, il cui ammontare complessivo è stato tuttavia decisamente basso nel confronto internazionale. Per essere efficace, l'azione di supervisione necessita di un quadro regolamentare robusto e pienamente </w:t>
            </w:r>
            <w:proofErr w:type="spellStart"/>
            <w:r w:rsidRPr="001126A7">
              <w:rPr>
                <w:rFonts w:ascii="Arial" w:eastAsia="Calibri" w:hAnsi="Arial" w:cs="Arial"/>
                <w:sz w:val="22"/>
                <w:szCs w:val="22"/>
              </w:rPr>
              <w:t>allinato</w:t>
            </w:r>
            <w:proofErr w:type="spellEnd"/>
            <w:r w:rsidRPr="001126A7">
              <w:rPr>
                <w:rFonts w:ascii="Arial" w:eastAsia="Calibri" w:hAnsi="Arial" w:cs="Arial"/>
                <w:sz w:val="22"/>
                <w:szCs w:val="22"/>
              </w:rPr>
              <w:t xml:space="preserve"> </w:t>
            </w:r>
            <w:r w:rsidRPr="001126A7">
              <w:rPr>
                <w:rFonts w:ascii="Arial" w:eastAsia="Calibri" w:hAnsi="Arial" w:cs="Arial"/>
                <w:sz w:val="22"/>
                <w:szCs w:val="22"/>
              </w:rPr>
              <w:lastRenderedPageBreak/>
              <w:t>ai più rigorosi standard internazionali. In prospettiva, l'esperienza delle crisi bancarie degli ultimi mesi andrà sfruttata per riflettere su possibili aggiustamenti al quadro delle regole prudenziali.</w:t>
            </w:r>
          </w:p>
          <w:p w14:paraId="68900799" w14:textId="77777777" w:rsidR="001126A7" w:rsidRPr="001126A7" w:rsidRDefault="001126A7" w:rsidP="001126A7">
            <w:pPr>
              <w:rPr>
                <w:rFonts w:ascii="Arial" w:hAnsi="Arial" w:cs="Arial"/>
                <w:sz w:val="22"/>
                <w:szCs w:val="22"/>
              </w:rPr>
            </w:pPr>
          </w:p>
          <w:p w14:paraId="78807363"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Andrà meglio definito il concetto di intermediari sistemici. Sono inoltre argomento di riflessione e possibili interventi sulla calibrazione dei requisiti di liquidità. I mutamenti in corso a livello globale richiedono di insistere sul rafforzamento delle regole che disciplinano l'intermediazione non bancaria.</w:t>
            </w:r>
          </w:p>
          <w:p w14:paraId="72D79200" w14:textId="77777777" w:rsidR="001126A7" w:rsidRPr="001126A7" w:rsidRDefault="001126A7" w:rsidP="001126A7">
            <w:pPr>
              <w:rPr>
                <w:rFonts w:ascii="Arial" w:hAnsi="Arial" w:cs="Arial"/>
                <w:sz w:val="22"/>
                <w:szCs w:val="22"/>
              </w:rPr>
            </w:pPr>
          </w:p>
          <w:p w14:paraId="5308FFB6"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Le forti interdipendenze tra settore bancario e quello dei fondi di investimento, nonché quello delle assicurazioni, possono amplificare i rischi. Incidere sulle scelte dei risparmiatori. Come ricordato, anche in presenza di una regolamentazione rigorosa e di un'intensa azione di supervisione, non è possibile escludere del tutto che emergano casi di </w:t>
            </w:r>
            <w:proofErr w:type="spellStart"/>
            <w:r w:rsidRPr="001126A7">
              <w:rPr>
                <w:rFonts w:ascii="Arial" w:eastAsia="Calibri" w:hAnsi="Arial" w:cs="Arial"/>
                <w:sz w:val="22"/>
                <w:szCs w:val="22"/>
              </w:rPr>
              <w:t>risesto</w:t>
            </w:r>
            <w:proofErr w:type="spellEnd"/>
            <w:r w:rsidRPr="001126A7">
              <w:rPr>
                <w:rFonts w:ascii="Arial" w:eastAsia="Calibri" w:hAnsi="Arial" w:cs="Arial"/>
                <w:sz w:val="22"/>
                <w:szCs w:val="22"/>
              </w:rPr>
              <w:t xml:space="preserve"> bancario.</w:t>
            </w:r>
          </w:p>
          <w:p w14:paraId="1B46D0BF" w14:textId="77777777" w:rsidR="001126A7" w:rsidRPr="001126A7" w:rsidRDefault="001126A7" w:rsidP="001126A7">
            <w:pPr>
              <w:rPr>
                <w:rFonts w:ascii="Arial" w:hAnsi="Arial" w:cs="Arial"/>
                <w:sz w:val="22"/>
                <w:szCs w:val="22"/>
              </w:rPr>
            </w:pPr>
          </w:p>
          <w:p w14:paraId="06C2EAE2"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I sistemi di garanzia dei depositi rappresentano un elemento fondamentale della disciplina di gestione delle crisi. Gli eventi più recenti hanno messo in evidenza l'importanza di prestare la dovuta attenzione anche alla quota di depositi che eccede il limito della garanzia. La regolamentazione internazionale d'Europea in materia di gestione delle crisi richiede alle banche di maggiori dimensioni di dotarsi di riserve di passività in grado di assorbire le perdite e di capitalizzare l'intermediario in caso di crisi, minimizzando le ricadute sui depositi non protetti.</w:t>
            </w:r>
          </w:p>
          <w:p w14:paraId="7EB99C1E" w14:textId="77777777" w:rsidR="001126A7" w:rsidRPr="001126A7" w:rsidRDefault="001126A7" w:rsidP="001126A7">
            <w:pPr>
              <w:rPr>
                <w:rFonts w:ascii="Arial" w:hAnsi="Arial" w:cs="Arial"/>
                <w:sz w:val="22"/>
                <w:szCs w:val="22"/>
              </w:rPr>
            </w:pPr>
          </w:p>
          <w:p w14:paraId="31A717B2"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In questi anni è tuttavia parsa evidente che la richiesta di tali riserve non può essere stesa a tutte le banche, viste le difficoltà che quelle più piccole inevitabilmente incontrano nell'accedere ai mercati dei capitali all'ingrosso. Per questa ragione, in vari modelli di gestione delle crisi, in particolare quello statunitense, il ruolo di protezione dei depositi delle banche minori continua ad essere affidato all'intervento degli schemi di garanzia, nelle forme del sostegno finanziario, all'accessione di attività e passività a un terzo acquirente. A fronte </w:t>
            </w:r>
            <w:proofErr w:type="gramStart"/>
            <w:r w:rsidRPr="001126A7">
              <w:rPr>
                <w:rFonts w:ascii="Arial" w:eastAsia="Calibri" w:hAnsi="Arial" w:cs="Arial"/>
                <w:sz w:val="22"/>
                <w:szCs w:val="22"/>
              </w:rPr>
              <w:t>dei</w:t>
            </w:r>
            <w:proofErr w:type="gramEnd"/>
            <w:r w:rsidRPr="001126A7">
              <w:rPr>
                <w:rFonts w:ascii="Arial" w:eastAsia="Calibri" w:hAnsi="Arial" w:cs="Arial"/>
                <w:sz w:val="22"/>
                <w:szCs w:val="22"/>
              </w:rPr>
              <w:t xml:space="preserve"> shock di intensità inusitata negli ultimi anni, l'economia italiana ha mostrato una notevole capacità di resistenza e reazione.</w:t>
            </w:r>
          </w:p>
          <w:p w14:paraId="7244D79C" w14:textId="77777777" w:rsidR="001126A7" w:rsidRPr="001126A7" w:rsidRDefault="001126A7" w:rsidP="001126A7">
            <w:pPr>
              <w:rPr>
                <w:rFonts w:ascii="Arial" w:hAnsi="Arial" w:cs="Arial"/>
                <w:sz w:val="22"/>
                <w:szCs w:val="22"/>
              </w:rPr>
            </w:pPr>
          </w:p>
          <w:p w14:paraId="5610749B"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lastRenderedPageBreak/>
              <w:t>Già alla fine del 2021 il prodotto aveva recuperato il crollo registrato nei trimestri successivi allo scoppio della pandemia. Ha continuato poi a risolvere le difficoltà poste dalla guerra in Ucraina con un incremento del 3,7%, ben superiore all'attesa e come superiore all'attesa il tasso di crescita registrato oggi, per il primo trimestre di quest'anno. Anche il mercato del lavoro ha pienamente riassorbito il forte calo dell'occupazione, che aveva soprattutto riguardato i giovani e le donne.</w:t>
            </w:r>
          </w:p>
          <w:p w14:paraId="50563EBE" w14:textId="77777777" w:rsidR="001126A7" w:rsidRPr="001126A7" w:rsidRDefault="001126A7" w:rsidP="001126A7">
            <w:pPr>
              <w:rPr>
                <w:rFonts w:ascii="Arial" w:hAnsi="Arial" w:cs="Arial"/>
                <w:sz w:val="22"/>
                <w:szCs w:val="22"/>
              </w:rPr>
            </w:pPr>
          </w:p>
          <w:p w14:paraId="17B1D019"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Nel primo trimestre appunto di quest'anno la crescita dell'economia ha superato ancora le attese. Per il 2023 le previsioni oggi disponibili convergono su un aumento del prodotto intorno all'1%. La ripresa è stata più marcata nelle costruzioni, sostenute dagli incentivi fiscali per la riqualificazione del patrimonio edilizio, e nei servizi, tornati a espandersi significativamente con il superamento delle misure di contrasto alla diffusione dei contagi.</w:t>
            </w:r>
          </w:p>
          <w:p w14:paraId="1B891717" w14:textId="77777777" w:rsidR="001126A7" w:rsidRPr="001126A7" w:rsidRDefault="001126A7" w:rsidP="001126A7">
            <w:pPr>
              <w:rPr>
                <w:rFonts w:ascii="Arial" w:hAnsi="Arial" w:cs="Arial"/>
                <w:sz w:val="22"/>
                <w:szCs w:val="22"/>
              </w:rPr>
            </w:pPr>
          </w:p>
          <w:p w14:paraId="7547962F"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Nonostante le difficoltà in corso d'anno, anche la produzione manifatturiera si è mantenuta in media sui livelli del 2019. La rinnovata vitalità del sistema economico si è manifestata nella robusta espansione delle esportazioni e nella forte ripresa dell'accumulazione di capitale. La ristrutturazione del tessuto produttivo ha permesso alle imprese di affrontare la crisi pandemica e lo shock energetico con un assetto finanziario più solido ed equilibrato che nei precedenti gravi periodi di crisi.</w:t>
            </w:r>
          </w:p>
          <w:p w14:paraId="56597831" w14:textId="77777777" w:rsidR="001126A7" w:rsidRPr="001126A7" w:rsidRDefault="001126A7" w:rsidP="001126A7">
            <w:pPr>
              <w:rPr>
                <w:rFonts w:ascii="Arial" w:hAnsi="Arial" w:cs="Arial"/>
                <w:sz w:val="22"/>
                <w:szCs w:val="22"/>
              </w:rPr>
            </w:pPr>
          </w:p>
          <w:p w14:paraId="4164D807"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Tra il 2007 e il 2019, in controtendenza rispetto alla media dell'area dell'euro, il loro debito era sceso di quasi 7 punti percentuali, al 68% del PIL, contro una media superiore al 100% nell'unione monetaria. Nello stesso periodo, le famiglie hanno mantenuto un livello di indebitamento complessivamente basso. Queste indicazioni e la forza della ripresa sono confortanti anche alla luce delle debolezze che ancora affliggono la nostra economia e che negli ultimi decenni si sono riflessi, in un progressivo arretramento del reddito pro capite rispetto agli altri Paesi avanzati.</w:t>
            </w:r>
          </w:p>
          <w:p w14:paraId="54C0516B" w14:textId="77777777" w:rsidR="001126A7" w:rsidRPr="001126A7" w:rsidRDefault="001126A7" w:rsidP="001126A7">
            <w:pPr>
              <w:rPr>
                <w:rFonts w:ascii="Arial" w:hAnsi="Arial" w:cs="Arial"/>
                <w:sz w:val="22"/>
                <w:szCs w:val="22"/>
              </w:rPr>
            </w:pPr>
          </w:p>
          <w:p w14:paraId="71005DA5"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Ne abbiamo molto discusso, anche in questa sede, osservando come al protratto ristagno della produttività del lavoro abbiano contribuito sia la bassa efficienza dei processi produttivi sia, nella fase successiva alla crisi finanziaria globale, la debolezza dell'accumulazione di </w:t>
            </w:r>
            <w:r w:rsidRPr="001126A7">
              <w:rPr>
                <w:rFonts w:ascii="Arial" w:eastAsia="Calibri" w:hAnsi="Arial" w:cs="Arial"/>
                <w:sz w:val="22"/>
                <w:szCs w:val="22"/>
              </w:rPr>
              <w:lastRenderedPageBreak/>
              <w:t>capitale. Negli ultimi 25 anni il prodotto per ora lavorato è cresciuto di appena lo 0,3% all'anno, meno di un terzo della media degli altri Paesi dell'area dell'euro. I margini di flessibilità introdotti nel mercato del lavoro non sono stati accompagnati da investimenti tecnologici adeguati al nuovo contesto.</w:t>
            </w:r>
          </w:p>
          <w:p w14:paraId="361572BC" w14:textId="77777777" w:rsidR="001126A7" w:rsidRPr="001126A7" w:rsidRDefault="001126A7" w:rsidP="001126A7">
            <w:pPr>
              <w:rPr>
                <w:rFonts w:ascii="Arial" w:hAnsi="Arial" w:cs="Arial"/>
                <w:sz w:val="22"/>
                <w:szCs w:val="22"/>
              </w:rPr>
            </w:pPr>
          </w:p>
          <w:p w14:paraId="6FDF706F"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La qualità del capitale umano è ancora insufficiente. Nonostante la disuguaglianza nelle retribuzioni orarie sia rimasta contenuta tra gli occupati dipendenti e il settore privato, la quota di lavoratori con retribuzioni annuale particolarmente basse, convenzionalmente inferiore al 60% del valore mediano della distribuzione, pari oggi a 11.600 euro anni, è ancora salita, fino al 30%, dal 25 degli ultimi anni del secolo scorso. Le forme contrattuali atipiche hanno accentuato la risposta dell'occupazione agli andamenti ciclici dell'economia e favorito, in molti nuclei familiari, l'aumento del numero di occupati, ancorché con salari modesti.</w:t>
            </w:r>
          </w:p>
          <w:p w14:paraId="69E93FDE" w14:textId="77777777" w:rsidR="001126A7" w:rsidRPr="001126A7" w:rsidRDefault="001126A7" w:rsidP="001126A7">
            <w:pPr>
              <w:rPr>
                <w:rFonts w:ascii="Arial" w:hAnsi="Arial" w:cs="Arial"/>
                <w:sz w:val="22"/>
                <w:szCs w:val="22"/>
              </w:rPr>
            </w:pPr>
          </w:p>
          <w:p w14:paraId="34441711"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Nel 2022, con la ripresa sostenuta dalla domanda di lavoro, è cresciuta notevolmente la trasformazione di contratti temporanei in permanenti. In molti casi, però, il lavoro a termini si associa a condizioni di precarietà molto prolungate. La quota dei giovani che dopo 5 anni ancora si trova in condizioni di impiego a tempo determinato resta prossima al 20%.</w:t>
            </w:r>
          </w:p>
          <w:p w14:paraId="3335C4D6" w14:textId="77777777" w:rsidR="001126A7" w:rsidRPr="001126A7" w:rsidRDefault="001126A7" w:rsidP="001126A7">
            <w:pPr>
              <w:rPr>
                <w:rFonts w:ascii="Arial" w:hAnsi="Arial" w:cs="Arial"/>
                <w:sz w:val="22"/>
                <w:szCs w:val="22"/>
              </w:rPr>
            </w:pPr>
          </w:p>
          <w:p w14:paraId="30CD2188"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Troppi, non solo tra i giovani, non hanno un'occupazione regolare, oppure avendola non si vedono riconosciute condizioni contrattuali adeguate, come negli altri principali paesi l'introduzione di un salario minimo definito con il necessario equilibrio, può rispondere a non trascurabili esigenze di giustizia sociale. L'aumento dei redditi e un deciso miglioramento delle opportunità di impiego richiedono un innalzamento della qualità e della capacità produttiva dell'intero sistema economico, oggi ancora più necessario alla luce dei cambiamenti demografici in corso. Nei prossimi decenni la dinamica della popolazione mondiale continuerà a essere fortemente sbilanciata.</w:t>
            </w:r>
          </w:p>
          <w:p w14:paraId="488C2570" w14:textId="77777777" w:rsidR="001126A7" w:rsidRPr="001126A7" w:rsidRDefault="001126A7" w:rsidP="001126A7">
            <w:pPr>
              <w:rPr>
                <w:rFonts w:ascii="Arial" w:hAnsi="Arial" w:cs="Arial"/>
                <w:sz w:val="22"/>
                <w:szCs w:val="22"/>
              </w:rPr>
            </w:pPr>
          </w:p>
          <w:p w14:paraId="43851B05"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Alla crescita sostenuta nei paesi in via di sviluppo, si contrapporrà quella debole e negativa nei paesi avanzati. Tra questi, l'Italia si caratterizza per un processo di invecchiamento fra i più rapidi. In soli tre anni, </w:t>
            </w:r>
            <w:r w:rsidRPr="001126A7">
              <w:rPr>
                <w:rFonts w:ascii="Arial" w:eastAsia="Calibri" w:hAnsi="Arial" w:cs="Arial"/>
                <w:sz w:val="22"/>
                <w:szCs w:val="22"/>
              </w:rPr>
              <w:lastRenderedPageBreak/>
              <w:t>dal 2019, il numero di persone convenzionalmente definite in età di lavoro, tra i 15 e i 64 anni, è diminuito di quasi 800.000 unità.</w:t>
            </w:r>
          </w:p>
          <w:p w14:paraId="646A66C8" w14:textId="77777777" w:rsidR="001126A7" w:rsidRPr="001126A7" w:rsidRDefault="001126A7" w:rsidP="001126A7">
            <w:pPr>
              <w:rPr>
                <w:rFonts w:ascii="Arial" w:hAnsi="Arial" w:cs="Arial"/>
                <w:sz w:val="22"/>
                <w:szCs w:val="22"/>
              </w:rPr>
            </w:pPr>
          </w:p>
          <w:p w14:paraId="60F5E9EF" w14:textId="77777777" w:rsidR="001126A7" w:rsidRDefault="001126A7" w:rsidP="001126A7">
            <w:pPr>
              <w:rPr>
                <w:rFonts w:ascii="Arial" w:eastAsia="Calibri" w:hAnsi="Arial" w:cs="Arial"/>
                <w:sz w:val="22"/>
                <w:szCs w:val="22"/>
              </w:rPr>
            </w:pPr>
            <w:r w:rsidRPr="001126A7">
              <w:rPr>
                <w:rFonts w:ascii="Arial" w:eastAsia="Calibri" w:hAnsi="Arial" w:cs="Arial"/>
                <w:sz w:val="22"/>
                <w:szCs w:val="22"/>
              </w:rPr>
              <w:t xml:space="preserve">Secondo le proiezioni demografiche dell'Istat, nello scenario centrale, entro il 2040, la popolazione residente si dovrebbe ridurre di 2,5 milioni di persone, quella tra i 15 e i 64 anni di oltre 6. Il miglioramento delle condizioni di vita e di salute conseguito negli ultimi decenni potrà consentire a non poche persone di lavorare oltre il limite convenzionale dei 64 anni, in linea con le tendenze già in atto, sostenute anche dalle riforme pensionistiche. </w:t>
            </w:r>
          </w:p>
          <w:p w14:paraId="551C6983" w14:textId="77777777" w:rsidR="001126A7" w:rsidRDefault="001126A7" w:rsidP="001126A7">
            <w:pPr>
              <w:rPr>
                <w:rFonts w:ascii="Arial" w:eastAsia="Calibri" w:hAnsi="Arial" w:cs="Arial"/>
                <w:sz w:val="22"/>
                <w:szCs w:val="22"/>
              </w:rPr>
            </w:pPr>
          </w:p>
          <w:p w14:paraId="3E08B1D0"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Sicuramente occorrerà accrescere la capacità di impiegare i giovani e le donne, i cui tassi di partecipazione in tutte le aree del Paese sono davvero modesti, e nel </w:t>
            </w:r>
            <w:proofErr w:type="spellStart"/>
            <w:r w:rsidRPr="001126A7">
              <w:rPr>
                <w:rFonts w:ascii="Arial" w:eastAsia="Calibri" w:hAnsi="Arial" w:cs="Arial"/>
                <w:sz w:val="22"/>
                <w:szCs w:val="22"/>
              </w:rPr>
              <w:t>mediogiorno</w:t>
            </w:r>
            <w:proofErr w:type="spellEnd"/>
            <w:r w:rsidRPr="001126A7">
              <w:rPr>
                <w:rFonts w:ascii="Arial" w:eastAsia="Calibri" w:hAnsi="Arial" w:cs="Arial"/>
                <w:sz w:val="22"/>
                <w:szCs w:val="22"/>
              </w:rPr>
              <w:t xml:space="preserve"> i più bassi d'Europa. Le prospettive di sviluppo dell'economia dipenderanno comunque in larga misura dalla capacità di tornare al ritmo di crescita della produttività del lavoro nettamente superiore a quelli degli ultimi 25 anni, e almeno pari a quelli medi osservati negli altri Paesi dell'area dell'Euro.</w:t>
            </w:r>
          </w:p>
          <w:p w14:paraId="6E9A4FA0" w14:textId="77777777" w:rsidR="001126A7" w:rsidRPr="001126A7" w:rsidRDefault="001126A7" w:rsidP="001126A7">
            <w:pPr>
              <w:rPr>
                <w:rFonts w:ascii="Arial" w:hAnsi="Arial" w:cs="Arial"/>
                <w:sz w:val="22"/>
                <w:szCs w:val="22"/>
              </w:rPr>
            </w:pPr>
          </w:p>
          <w:p w14:paraId="30EDAFE0"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Dal 2015 si sono fatti chiari progressi. Nonostante il contributo nullo dell'accumulazione di capitale, il prodotto per ora lavorato nel settore privato è cresciuto a ritmi non lontani dalla media dell'area. Il proseguimento di questa tendenza richiede che le imprese confermino la ripresa recente degli investimenti e sostengano l'innovazione.</w:t>
            </w:r>
          </w:p>
          <w:p w14:paraId="2980FCDE" w14:textId="77777777" w:rsidR="001126A7" w:rsidRPr="001126A7" w:rsidRDefault="001126A7" w:rsidP="001126A7">
            <w:pPr>
              <w:rPr>
                <w:rFonts w:ascii="Arial" w:hAnsi="Arial" w:cs="Arial"/>
                <w:sz w:val="22"/>
                <w:szCs w:val="22"/>
              </w:rPr>
            </w:pPr>
          </w:p>
          <w:p w14:paraId="547197FB"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Modifiche normative di rilievo, come la riduzione delle barriere all'ingresso e la semplificazione dell'avvio delle attività, hanno stimolato la concorrenza e innalzato l'efficienza delle imprese. Questo conferma che è necessario perseverare nell'agenda delle riforme e superare gli ostacoli e disincentivi alla crescita dimensionale ancora presenti, spesso impliciti nelle norme amministrative e fiscali. L'evasione fiscale e la diffusione del lavoro sommerso continuano ad alterare i meccanismi concorrenziali a danno delle imprese con maggiore potenzialità.</w:t>
            </w:r>
          </w:p>
          <w:p w14:paraId="24E04F07" w14:textId="77777777" w:rsidR="001126A7" w:rsidRPr="001126A7" w:rsidRDefault="001126A7" w:rsidP="001126A7">
            <w:pPr>
              <w:rPr>
                <w:rFonts w:ascii="Arial" w:hAnsi="Arial" w:cs="Arial"/>
                <w:sz w:val="22"/>
                <w:szCs w:val="22"/>
              </w:rPr>
            </w:pPr>
          </w:p>
          <w:p w14:paraId="4C448706"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Sulla concorrenza tra le imprese su queste questioni strutturali viene la relazione annuale un ampio capitolo. Un'economia innovativa richiede una forza lavoro qualificata, con conoscenze adeguate e continuamente </w:t>
            </w:r>
            <w:r w:rsidRPr="001126A7">
              <w:rPr>
                <w:rFonts w:ascii="Arial" w:eastAsia="Calibri" w:hAnsi="Arial" w:cs="Arial"/>
                <w:sz w:val="22"/>
                <w:szCs w:val="22"/>
              </w:rPr>
              <w:lastRenderedPageBreak/>
              <w:t>aggiornate. La quota di laureati tra le persone età comprese tra i 25 e i 34 anni è ancora oggi inferire al 30 per cento, contro una media europea che supera il 40.</w:t>
            </w:r>
          </w:p>
          <w:p w14:paraId="7BFCD5F4" w14:textId="77777777" w:rsidR="001126A7" w:rsidRPr="001126A7" w:rsidRDefault="001126A7" w:rsidP="001126A7">
            <w:pPr>
              <w:rPr>
                <w:rFonts w:ascii="Arial" w:hAnsi="Arial" w:cs="Arial"/>
                <w:sz w:val="22"/>
                <w:szCs w:val="22"/>
              </w:rPr>
            </w:pPr>
          </w:p>
          <w:p w14:paraId="2DA8FD9C"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Altrettanto è necessario l'</w:t>
            </w:r>
            <w:proofErr w:type="spellStart"/>
            <w:r w:rsidRPr="001126A7">
              <w:rPr>
                <w:rFonts w:ascii="Arial" w:eastAsia="Calibri" w:hAnsi="Arial" w:cs="Arial"/>
                <w:sz w:val="22"/>
                <w:szCs w:val="22"/>
              </w:rPr>
              <w:t>inalzamento</w:t>
            </w:r>
            <w:proofErr w:type="spellEnd"/>
            <w:r w:rsidRPr="001126A7">
              <w:rPr>
                <w:rFonts w:ascii="Arial" w:eastAsia="Calibri" w:hAnsi="Arial" w:cs="Arial"/>
                <w:sz w:val="22"/>
                <w:szCs w:val="22"/>
              </w:rPr>
              <w:t xml:space="preserve"> della qualità della pubblica amministrazione. In tutti i comparti, istruzione, sanità, giustizia, si riscontrano, oltre ai divari rispetto alla media europea, ampie differenze territoriali. Per ridurle e conseguire necessari miglioramenti, occorrono sistemi di monitoraggio e strumenti efficaci per intervenire laddove non si raggiungono standard minimi di qualità.</w:t>
            </w:r>
          </w:p>
          <w:p w14:paraId="471608D6" w14:textId="77777777" w:rsidR="001126A7" w:rsidRPr="001126A7" w:rsidRDefault="001126A7" w:rsidP="001126A7">
            <w:pPr>
              <w:rPr>
                <w:rFonts w:ascii="Arial" w:hAnsi="Arial" w:cs="Arial"/>
                <w:sz w:val="22"/>
                <w:szCs w:val="22"/>
              </w:rPr>
            </w:pPr>
          </w:p>
          <w:p w14:paraId="335DD84E"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Sui risultati incidono i ritardi nell'uso delle tecnologie digitali, l'elevata età media del personale, le insufficienze di dotazione di competenze specialistiche. Sulla capacità di crescita, la nostra economia grava un sistema tributario complesso, su cui si è spesso intervenuti senza un disegno organico. Una </w:t>
            </w:r>
            <w:proofErr w:type="spellStart"/>
            <w:r w:rsidRPr="001126A7">
              <w:rPr>
                <w:rFonts w:ascii="Arial" w:eastAsia="Calibri" w:hAnsi="Arial" w:cs="Arial"/>
                <w:sz w:val="22"/>
                <w:szCs w:val="22"/>
              </w:rPr>
              <w:t>rincomposizione</w:t>
            </w:r>
            <w:proofErr w:type="spellEnd"/>
            <w:r w:rsidRPr="001126A7">
              <w:rPr>
                <w:rFonts w:ascii="Arial" w:eastAsia="Calibri" w:hAnsi="Arial" w:cs="Arial"/>
                <w:sz w:val="22"/>
                <w:szCs w:val="22"/>
              </w:rPr>
              <w:t xml:space="preserve"> del </w:t>
            </w:r>
            <w:proofErr w:type="spellStart"/>
            <w:r w:rsidRPr="001126A7">
              <w:rPr>
                <w:rFonts w:ascii="Arial" w:eastAsia="Calibri" w:hAnsi="Arial" w:cs="Arial"/>
                <w:sz w:val="22"/>
                <w:szCs w:val="22"/>
              </w:rPr>
              <w:t>predievo</w:t>
            </w:r>
            <w:proofErr w:type="spellEnd"/>
            <w:r w:rsidRPr="001126A7">
              <w:rPr>
                <w:rFonts w:ascii="Arial" w:eastAsia="Calibri" w:hAnsi="Arial" w:cs="Arial"/>
                <w:sz w:val="22"/>
                <w:szCs w:val="22"/>
              </w:rPr>
              <w:t>, che riduca il peso della tassazione sui fattori produttivi, può stimolare l'occupazione di investimenti.</w:t>
            </w:r>
          </w:p>
          <w:p w14:paraId="323FE4A8" w14:textId="77777777" w:rsidR="001126A7" w:rsidRPr="001126A7" w:rsidRDefault="001126A7" w:rsidP="001126A7">
            <w:pPr>
              <w:rPr>
                <w:rFonts w:ascii="Arial" w:hAnsi="Arial" w:cs="Arial"/>
                <w:sz w:val="22"/>
                <w:szCs w:val="22"/>
              </w:rPr>
            </w:pPr>
          </w:p>
          <w:p w14:paraId="5833BCF9"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Ridurre la dimensione del debito pubblico è una priorità della politica economica, indipendentemente dalle regole europee. Un alto debito impone che una quota elevata delle entrate pubbliche sia destinata al pagamento di interessi, invece che impieghi produttivi. Dopo essere sceso in misura significativa nei primi anni dell'Unione Monetaria, e poi solo marginalmente, fino a poco più del 100% nel 2007, con la duplice crisi finanziaria dei debiti sovrani, il rapporto tra debito e PIL è salito bruscamente, anche a causa della bassa crescita nominale, nonostante perduranti avanzi primari, mantenendosi intorno al 135% fino allo scoppio della pandemia.</w:t>
            </w:r>
          </w:p>
          <w:p w14:paraId="53E58249" w14:textId="77777777" w:rsidR="001126A7" w:rsidRPr="001126A7" w:rsidRDefault="001126A7" w:rsidP="001126A7">
            <w:pPr>
              <w:rPr>
                <w:rFonts w:ascii="Arial" w:hAnsi="Arial" w:cs="Arial"/>
                <w:sz w:val="22"/>
                <w:szCs w:val="22"/>
              </w:rPr>
            </w:pPr>
          </w:p>
          <w:p w14:paraId="26C3FE97" w14:textId="77777777" w:rsidR="001126A7" w:rsidRPr="001126A7" w:rsidRDefault="001126A7" w:rsidP="001126A7">
            <w:pPr>
              <w:rPr>
                <w:rFonts w:ascii="Arial" w:hAnsi="Arial" w:cs="Arial"/>
                <w:sz w:val="22"/>
                <w:szCs w:val="22"/>
              </w:rPr>
            </w:pPr>
            <w:r w:rsidRPr="001126A7">
              <w:rPr>
                <w:rFonts w:ascii="Arial" w:eastAsia="Calibri" w:hAnsi="Arial" w:cs="Arial"/>
                <w:sz w:val="22"/>
                <w:szCs w:val="22"/>
              </w:rPr>
              <w:t xml:space="preserve">Indipendentemente dalle cause che lo hanno portato agli attuali livelli, è oggi prioritario dare continuità al processo di consolidamento avviato nell'ultimo biennio. </w:t>
            </w:r>
          </w:p>
        </w:tc>
        <w:tc>
          <w:tcPr>
            <w:tcW w:w="4814" w:type="dxa"/>
          </w:tcPr>
          <w:p w14:paraId="480AB90D"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lastRenderedPageBreak/>
              <w:t>Russia's invasion of Ukraine continues to have severe repercussions on the world economy and to call into question international economic and financial integration, as well as the multilateral order that emerged after the end of the Cold War. The return to a situation of tensions and divisions between opposing blocs of countries represents a concrete danger for the sustainable and balanced development of all economies. Alongside the flagrant violation of the sovereignty and territorial integrity of a free nation, it is vital to vigorously pursue international cooperation, despite everything, also in the economic and financial field, and to seek a dialogue that accommodates diversity of values among countries and cultures based on respect for the fundamental principles of peaceful coexistence.</w:t>
            </w:r>
          </w:p>
          <w:p w14:paraId="5E6A0B87"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In 2022, world economic growth remained below 3.5 percent, one percentage point less than expected on the eve of the conflict's outbreak. This year, according to the International Monetary Fund, it would not reach 3 percent. Inflation approached 9 percent globally. In advanced countries, it averaged over 7 percent, the highest value in 40 years.</w:t>
            </w:r>
          </w:p>
          <w:p w14:paraId="254911C9"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7F3C1A64"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In some economies, particularly the United States, the acceleration in prices was largely driven by the vigorous recovery in consumption that began in 2021, while supply was still held back by pandemic restrictions and the resulting impediments to international trade in raw materials and intermediate products. In Europe, however, inflation was primarily fueled by rising energy costs. Forecasts for world economic growth in the coming months remain uncertain.</w:t>
            </w:r>
          </w:p>
          <w:p w14:paraId="3FCD6E62"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47106969"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 xml:space="preserve">The persistence of the conflict in Ukraine weighs heavily. There are doubts about the intensity of the recovery of the Chinese economy. With the fall in energy prices, inflation is now declining, both in Europe and the United </w:t>
            </w:r>
            <w:proofErr w:type="spellStart"/>
            <w:r w:rsidRPr="001126A7">
              <w:rPr>
                <w:rFonts w:ascii="Arial" w:hAnsi="Arial" w:cs="Arial"/>
                <w:color w:val="0F1115"/>
                <w:sz w:val="22"/>
                <w:szCs w:val="22"/>
                <w:lang w:val="en-US"/>
              </w:rPr>
              <w:t>States.The</w:t>
            </w:r>
            <w:proofErr w:type="spellEnd"/>
            <w:r w:rsidRPr="001126A7">
              <w:rPr>
                <w:rFonts w:ascii="Arial" w:hAnsi="Arial" w:cs="Arial"/>
                <w:color w:val="0F1115"/>
                <w:sz w:val="22"/>
                <w:szCs w:val="22"/>
                <w:lang w:val="en-US"/>
              </w:rPr>
              <w:t xml:space="preserve"> core component, calculated net of energy and food goods, however, remains high. The emergence of </w:t>
            </w:r>
            <w:r w:rsidRPr="001126A7">
              <w:rPr>
                <w:rFonts w:ascii="Arial" w:hAnsi="Arial" w:cs="Arial"/>
                <w:color w:val="0F1115"/>
                <w:sz w:val="22"/>
                <w:szCs w:val="22"/>
                <w:lang w:val="en-US"/>
              </w:rPr>
              <w:lastRenderedPageBreak/>
              <w:t>fractures in international relations can have lasting effects, influencing long-term corporate strategies, including those concerning the location of production. Since the invasion of Ukraine, business surveys (not only Italian) show an ongoing trend, moderate for now, towards regionalization and diversification of supply chains.</w:t>
            </w:r>
          </w:p>
          <w:p w14:paraId="5BA8C9BE"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At least in Italy, this trend is more pronounced among companies most exposed to China. National security can be protected by avoiding generalized protectionist policies, which would strengthen the trend towards increased barriers to trade and foreign direct investment that has emerged over the last five years. Over the past thirty years, market opening has made a fundamental contribution to the well-being, not only economic, of a large part of the world's population.</w:t>
            </w:r>
          </w:p>
          <w:p w14:paraId="75506DBD"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The number of people living in extreme poverty has fallen from nearly 2 billion to less than 700 million. Improvements have been especially evident for economies that, during this period, became fully integrated into international trade and global value chains. Globalization and the technological innovation that supported and accompanied it have therefore been an extraordinary opportunity for development.</w:t>
            </w:r>
          </w:p>
          <w:p w14:paraId="298EE532"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69FB7A9D"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In advanced countries, however, they have also led to less job stability and, in some cases, increased inequality, which public policies have failed to address adequately. It would be a mistake to underestimate the benefits of market integration, particularly in an open economy like ours. Nor can we forget that the challenges we face today, from fighting climate change to combating pandemics, from reducing poverty to managing migratory pressures, are global in nature and can only be solved through coordinated action at that level.</w:t>
            </w:r>
          </w:p>
          <w:p w14:paraId="6F9BD5DD"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486870A7"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 xml:space="preserve">On the external front, it is therefore necessary to preserve the functioning of multilateral institutions and restore strength to international cooperation. But on the domestic front, we must pursue economic measures that are genuinely capable of improving the well-being of all citizens, accompanying them with </w:t>
            </w:r>
            <w:r w:rsidRPr="001126A7">
              <w:rPr>
                <w:rFonts w:ascii="Arial" w:hAnsi="Arial" w:cs="Arial"/>
                <w:color w:val="0F1115"/>
                <w:sz w:val="22"/>
                <w:szCs w:val="22"/>
                <w:lang w:val="en-US"/>
              </w:rPr>
              <w:lastRenderedPageBreak/>
              <w:t>effective communication of tools and objectives. European policies show that confidence in the benefits of international economic integration can be rebuilt.</w:t>
            </w:r>
          </w:p>
          <w:p w14:paraId="69B689C3"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In Eurobarometer surveys, public support for our continent's integration process, which deteriorated in the decade leading up to the UK's vote to leave the European Union, has begun to grow again in recent years. This also reflected the measures adopted to support the post-pandemic recovery, particularly the Next Generation EU program. Consumer inflation rose to an average of 8.4% for the year.</w:t>
            </w:r>
          </w:p>
          <w:p w14:paraId="1ACFE88A"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It peaked at 16% in the 12 months ending in October. The increase in raw material prices gradually transmitted to the prices of other goods and services. More than three-quarters of the growth in the General Consumer Price Index can be directly or indirectly attributed to higher energy and food prices.</w:t>
            </w:r>
          </w:p>
          <w:p w14:paraId="3518C2C9"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11F56BE5"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According to the most recent forecasts, after a 3.5% increase in 2022, economic activity in the euro area would slow down significantly on average this year, only to resume more sustained expansion later. The Governing Council's response to the price acceleration was fully in line with the gradual evolution of the situation and the data that gradually became available. It should be remembered that in June 2021, despite rising natural gas prices and bottlenecks in the supply of intermediate products, overall inflation in the euro area had not yet reached 2%, and core inflation was below 1%.</w:t>
            </w:r>
          </w:p>
          <w:p w14:paraId="0F38DFA0"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In the same period, inflation was around 5% in the United States. The subsequent increase in inflation in the euro area, extraordinary and largely unforeseen, stemmed primarily from the equally exceptional leap in energy prices. The Russian aggression against Ukraine transformed a temporary price shock into a much more intense and persistent phenomenon.</w:t>
            </w:r>
          </w:p>
          <w:p w14:paraId="13E7AFC8"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3A4F370A"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 xml:space="preserve">Despite all the uncertainties connected with the conflict, monetary normalization was rapid. Market yields quickly adjusted to the changed orientation of monetary policy. Since the start </w:t>
            </w:r>
            <w:r w:rsidRPr="001126A7">
              <w:rPr>
                <w:rFonts w:ascii="Arial" w:hAnsi="Arial" w:cs="Arial"/>
                <w:color w:val="0F1115"/>
                <w:sz w:val="22"/>
                <w:szCs w:val="22"/>
                <w:lang w:val="en-US"/>
              </w:rPr>
              <w:lastRenderedPageBreak/>
              <w:t>of the normalization process, one-year risk-free interest rates have risen from slightly negative levels to the current 3.7%, and ten-year rates from barely positive values to 2.9%.</w:t>
            </w:r>
          </w:p>
          <w:p w14:paraId="0BFF5AFE"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The effectiveness of the Governing Council's action is reflected in the evolution of inflation expectations, an important anchor for corporate pricing decisions and wage dynamics. Longer-term expectations, a measure of the Central Bank's credibility, remain consistent with the definition and stability of prices, while the risk that inflation stays above target for too long has significantly diminished compared to the peak in mid-2022. The challenge is demanding.</w:t>
            </w:r>
          </w:p>
          <w:p w14:paraId="5E528C60"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1FE0315E"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Faced with the violent shock caused by energy price hikes, it is necessary to seek a balance between the risk of insufficient restriction, which could lead to inflationary dynamics becoming entrenched in expectations and nominal income determination processes, and the risk of disproportionate tightening, which could have an excessively strong impact on economic activity. The orientation of monetary policy must continue to be defined in order to ensure a progressive, but not slow, return of inflation towards the target. The impact of our decisions on the economy and prices should fully manifest itself in the coming months.</w:t>
            </w:r>
          </w:p>
          <w:p w14:paraId="76D2AB9A"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0B0E2597"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Having brought reference rates into restrictive territory, we must now proceed with the necessary gradualism. The return of inflation to levels consistent with the target will be faster and less costly if everyone – businesses, workers, governments – contributes to this goal, strengthening the effectiveness of indispensable, albeit balanced, monetary normalization. In labor market negotiations, a purely backward-looking approach should be avoided.</w:t>
            </w:r>
          </w:p>
          <w:p w14:paraId="38C4C209"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 xml:space="preserve">What is needed to recover purchasing power is more sustained productivity growth. The last few years have been very significant for the European Union's prospects. Above all, the importance of being able to count, in addition to single monetary policy, on the action of a </w:t>
            </w:r>
            <w:r w:rsidRPr="001126A7">
              <w:rPr>
                <w:rFonts w:ascii="Arial" w:hAnsi="Arial" w:cs="Arial"/>
                <w:color w:val="0F1115"/>
                <w:sz w:val="22"/>
                <w:szCs w:val="22"/>
                <w:lang w:val="en-US"/>
              </w:rPr>
              <w:lastRenderedPageBreak/>
              <w:t>genuine common economic policy has come to light.</w:t>
            </w:r>
          </w:p>
          <w:p w14:paraId="6F54A53D"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However, substantial further progress is needed to complete the path initiated with the adoption of the euro. Only with the most recent, serious emergencies have doubts and hesitations been decisively overcome. The European policy response to the pandemic crisis was strong and timely.</w:t>
            </w:r>
          </w:p>
          <w:p w14:paraId="1D540A6D"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These interventions are of great importance not only for their considerable size, but above all because they demonstrate the ability of the European Union's institutions and member states to assume shared responsibilities to face common challenges, primarily in the interest of future generations. Although they have intrinsically structural effects, they are nevertheless mostly temporary in nature. If the national measures financed by these programs are successful, they could constitute the first steps towards a fully integrated economic union.</w:t>
            </w:r>
          </w:p>
          <w:p w14:paraId="3C20B56A"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The countries that benefit most from these resources, ours first and foremost, besides having a historic opportunity to address long-standing problems, also have the burden of demonstrating, with tangible results, the actual utility of such greater integration. Regarding fiscal policies, the reform should be based on two fundamental pillars. The rethinking of the rules and the establishment of an effective fiscal capacity backed by own resources and, when necessary, by debt issuance.</w:t>
            </w:r>
          </w:p>
          <w:p w14:paraId="4DDC77BA"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On the first aspect, a significant step forward has been made with the presentation in April of the European Commission's reform proposal. But compliance with fiscal rules and their credibility are in the interest not only of the Union as a whole, but also of each of the member states. They are crucial for Italy, which cannot but aim to reduce its excessively high public debt over time.</w:t>
            </w:r>
          </w:p>
          <w:p w14:paraId="1DE9FAB5"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3443A6F4"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 xml:space="preserve">They are consistent with the fiscal discipline recognized as necessary by our Constitution. The introduction of a supranational fiscal capacity, absent from the Commission's reform proposal, would allow for more efficient management of both shocks affecting individual countries and common adverse </w:t>
            </w:r>
            <w:r w:rsidRPr="001126A7">
              <w:rPr>
                <w:rFonts w:ascii="Arial" w:hAnsi="Arial" w:cs="Arial"/>
                <w:color w:val="0F1115"/>
                <w:sz w:val="22"/>
                <w:szCs w:val="22"/>
                <w:lang w:val="en-US"/>
              </w:rPr>
              <w:lastRenderedPageBreak/>
              <w:t>events, such as the pandemic and the energy crisis. If the institutional and political obstacles encountered today make it difficult to achieve a full fiscal union immediately, we can proceed pragmatically, taking inspiration from the instruments adopted during the pandemic emergency.</w:t>
            </w:r>
          </w:p>
          <w:p w14:paraId="2268B722"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Finally, one cannot fail to underline the need to complete the banking union through a revision of the current crisis management framework, making it faster and more effective, as well as the establishment of a single deposit guarantee scheme. Recent instability phenomena observed outside the European Union clearly show the importance of achieving these objectives. As soon as its reform is fully operational, the European Stability Mechanism, thanks to the resources at its disposal, will be able to play an important role, providing a financial safety net to the Single Resolution Fund.</w:t>
            </w:r>
          </w:p>
          <w:p w14:paraId="26465AAF"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7411C26A"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The crisis episodes that occurred in the United States and Switzerland remind us that banks engage in an intrinsically risky activity and that it is impossible to reduce the probability of bank failures to zero. The task of institutions and supervisory authorities is to minimize that probability, by defining rules and intervening with preventive measures. In crisis management, it is crucial to have appropriate tools to contain the effects and costs for society and to prevent isolated events from taking on a systemic dimension, with consequences for economic and social development prospects.</w:t>
            </w:r>
          </w:p>
          <w:p w14:paraId="685C4A5A"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In the US regional banking sector, intermediaries whose business models had elements of vulnerability were affected, with excessive exposure to the risk of rising interest rates and a highly concentrated funding base skewed towards large, uninsured demand deposits. In the European Union banking system, also thanks to stricter regulation and supervisory activity attentive to operational sustainability, there are no signs of situations similar to those in the United States. In Italy, as in other euro area countries, no abnormal deposit outflows have been recorded.</w:t>
            </w:r>
          </w:p>
          <w:p w14:paraId="379D43A0"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27381E4E"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lastRenderedPageBreak/>
              <w:t>Overall, the banking system is in sufficiently good condition. Last year, all main balance sheet indicators showed satisfactory aggregate values. In many cases, they improved.</w:t>
            </w:r>
          </w:p>
          <w:p w14:paraId="2EEF4D42"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The incidence of the stock of non-performing loans remained stable, at modest levels now in line with the European average. Profitability, long depressed by low interest rates and high loan losses, rose significantly, benefiting from the increase in net interest income. The capital position also improved slightly.</w:t>
            </w:r>
          </w:p>
          <w:p w14:paraId="2D73BC49"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16"/>
                <w:szCs w:val="16"/>
                <w:lang w:val="en-US"/>
              </w:rPr>
            </w:pPr>
          </w:p>
          <w:p w14:paraId="4C0B1828"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16"/>
                <w:szCs w:val="16"/>
                <w:lang w:val="en-US"/>
              </w:rPr>
            </w:pPr>
          </w:p>
          <w:p w14:paraId="60AA95FD"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But uncertainty about the economic outlook calls for prudence. The cyclical slowdown and tighter financing conditions are expected to lead to a deterioration in credit quality, with implications for still-low value adjustments. The stability of the Italian banking system is the result of an intensive process, carried out over the last ten years, of balance sheet restructuring, efficiency improvement, strengthening of corporate governance and internal controls.</w:t>
            </w:r>
          </w:p>
          <w:p w14:paraId="0B48F47D"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A result that many observers, including authoritative ones, doubted could be achieved. The path was not without difficulties. In quite a few cases, the implementation of timely interventions allowed managing situations of fragility through mergers with other, more robust intermediaries, changes in ownership structures, deep revisions and transformations of business models.</w:t>
            </w:r>
          </w:p>
          <w:p w14:paraId="08D81044"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In others, some of which were also attributable to episodes of mismanagement, it was unavoidable to resort to resolution or liquidation procedures and the transfer of assets and liabilities, which involved 3% of the system's total assets. In no case, despite the constraints imposed by the European regulatory framework on which we have expressed ourselves in the past, was financial stability jeopardized. Depositors were protected.</w:t>
            </w:r>
          </w:p>
          <w:p w14:paraId="63F4C4A9"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 xml:space="preserve">Where necessary, public resources were used, but their total amount was decidedly low in international comparison. To be effective, supervisory action requires a robust regulatory framework fully aligned with the most stringent international standards. Looking ahead, the </w:t>
            </w:r>
            <w:r w:rsidRPr="001126A7">
              <w:rPr>
                <w:rFonts w:ascii="Arial" w:hAnsi="Arial" w:cs="Arial"/>
                <w:color w:val="0F1115"/>
                <w:sz w:val="22"/>
                <w:szCs w:val="22"/>
                <w:lang w:val="en-US"/>
              </w:rPr>
              <w:lastRenderedPageBreak/>
              <w:t>experience of banking crises in recent months should be used to reflect on possible adjustments to the prudential rulebook.</w:t>
            </w:r>
          </w:p>
          <w:p w14:paraId="40297DEE"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12D0FAF1"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The concept of systemic intermediaries needs to be better defined. Also subject to reflection and possible intervention is the calibration of liquidity requirements. The ongoing global changes require insisting on strengthening the rules governing non-bank intermediation.</w:t>
            </w:r>
          </w:p>
          <w:p w14:paraId="76379D1B"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The strong interdependencies between the banking sector and the investment fund sector, as well as the insurance sector, can amplify risks. They can influence savers' choices. As noted, even with strict regulation and intense supervisory action, it is impossible to completely rule out the emergence of bank failures.</w:t>
            </w:r>
          </w:p>
          <w:p w14:paraId="4E92FF6E"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785E0B14"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Deposit guarantee schemes are a fundamental element of the crisis management framework. Recent events have highlighted the importance of paying due attention also to the portion of deposits exceeding the guarantee limit. International and European crisis management regulations require larger banks to hold liability reserves capable of absorbing losses and recapitalizing the intermediary in the event of a crisis, minimizing spillovers on unprotected deposits.</w:t>
            </w:r>
          </w:p>
          <w:p w14:paraId="4ADC0297"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755C2C4D"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In recent years, however, it has become evident that the requirement for such reserves cannot be extended to all banks, given the difficulties that smaller banks inevitably encounter in accessing wholesale capital markets. For this reason, in various crisis management models, particularly the US one, the role of protecting deposits of smaller banks continues to be entrusted to the intervention of guarantee schemes, in the form of financial support, or the transfer of assets and liabilities to a third-party acquirer. In the face of shocks of unusual intensity in recent years, the Italian economy has shown remarkable resilience and ability to react.</w:t>
            </w:r>
          </w:p>
          <w:p w14:paraId="6C1C70D1"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1A210308"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lastRenderedPageBreak/>
              <w:t>By the end of 2021, output had recovered from the crash recorded in the quarters following the outbreak of the pandemic. It then continued to overcome the difficulties posed by the war in Ukraine with a 3.7% increase, well above expectations, and the growth rate recorded today for the first quarter of this year is also above expectations. The labor market also fully absorbed the sharp decline in employment, which had primarily affected young people and women.</w:t>
            </w:r>
          </w:p>
          <w:p w14:paraId="7F7DFC2E"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In the first quarter of this year, economic growth again exceeded expectations. For 2023, currently available forecasts converge on an increase in output of around 1%. The recovery has been more marked in construction, supported by tax incentives for the requalification of the building stock, and in services, which have returned to significant expansion following the lifting of measures to contain the spread of the virus.</w:t>
            </w:r>
          </w:p>
          <w:p w14:paraId="1F406C58"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Despite difficulties during the year, manufacturing output also remained on average at 2019 levels. The renewed vitality of the economic system manifested itself in the robust expansion of exports and the strong recovery in capital accumulation. The restructuring of the productive fabric has allowed firms to face the pandemic crisis and the energy shock with a stronger and more balanced financial structure than in previous severe crisis periods.</w:t>
            </w:r>
          </w:p>
          <w:p w14:paraId="05893AB9"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Between 2007 and 2019, contrary to the euro area average, their debt fell by almost 7 percentage points, to 68% of GDP, compared to an average of over 100% in the monetary union. Over the same period, households maintained a generally low level of indebtedness. These indications and the strength of the recovery are comforting also in light of the weaknesses that still afflict our economy and that in recent decades have been reflected in a progressive decline in per capita income relative to other advanced countries.</w:t>
            </w:r>
          </w:p>
          <w:p w14:paraId="7C9E7B02"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 xml:space="preserve">We have discussed this extensively, including on this occasion, observing how the protracted stagnation of labor productivity has been contributed to by both the low efficiency of production processes and, in the phase following the global financial crisis, the weakness of capital accumulation. Over the </w:t>
            </w:r>
            <w:r w:rsidRPr="001126A7">
              <w:rPr>
                <w:rFonts w:ascii="Arial" w:hAnsi="Arial" w:cs="Arial"/>
                <w:color w:val="0F1115"/>
                <w:sz w:val="22"/>
                <w:szCs w:val="22"/>
                <w:lang w:val="en-US"/>
              </w:rPr>
              <w:lastRenderedPageBreak/>
              <w:t>past 25 years, output per hour worked has grown by just 0.3% per year, less than one-third of the average of other euro area countries. The flexibility margins introduced into the labor market have not been accompanied by technological investments adequate for the new context.</w:t>
            </w:r>
          </w:p>
          <w:p w14:paraId="66E1F795"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The quality of human capital is still insufficient. Although inequality in hourly wages among private sector employees has remained contained, the share of workers with particularly low annual wages, conventionally below 60% of the median distribution value (currently €11,600 per year), has risen further, to 30%, from 25% in the last years of the last century. Atypical contractual forms have accentuated the response of employment to cyclical economic trends and favored, in many households, an increase in the number of employed persons, albeit with modest wages.</w:t>
            </w:r>
          </w:p>
          <w:p w14:paraId="05E3F2B6"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14E2F2F5"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In 2022, with the recovery supported by labor demand, the conversion of temporary contracts into permanent ones grew considerably. In many cases, however, fixed-term work is associated with very prolonged precarious conditions. The share of young people who, after 5 years, are still in fixed-term employment remains close to 20%.</w:t>
            </w:r>
          </w:p>
          <w:p w14:paraId="618F5561"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52CB42CD"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 xml:space="preserve">Too many people, not only among the young, do not have regular employment, or if they do, they are not granted adequate contractual conditions. As in other major countries, the introduction of a minimum wage defined with the necessary balance can respond to significant needs for social justice. Increasing incomes and decisively improving employment opportunities require raising the quality and productive capacity of the entire economic system, which is even more necessary today in light of ongoing demographic </w:t>
            </w:r>
            <w:proofErr w:type="spellStart"/>
            <w:proofErr w:type="gramStart"/>
            <w:r w:rsidRPr="001126A7">
              <w:rPr>
                <w:rFonts w:ascii="Arial" w:hAnsi="Arial" w:cs="Arial"/>
                <w:color w:val="0F1115"/>
                <w:sz w:val="22"/>
                <w:szCs w:val="22"/>
                <w:lang w:val="en-US"/>
              </w:rPr>
              <w:t>changes.In</w:t>
            </w:r>
            <w:proofErr w:type="spellEnd"/>
            <w:proofErr w:type="gramEnd"/>
            <w:r w:rsidRPr="001126A7">
              <w:rPr>
                <w:rFonts w:ascii="Arial" w:hAnsi="Arial" w:cs="Arial"/>
                <w:color w:val="0F1115"/>
                <w:sz w:val="22"/>
                <w:szCs w:val="22"/>
                <w:lang w:val="en-US"/>
              </w:rPr>
              <w:t xml:space="preserve"> the coming decades, the dynamics of the world population will continue to be highly unbalanced. </w:t>
            </w:r>
          </w:p>
          <w:p w14:paraId="5ACEA722"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Sustained growth in developing countries will be contrasted with weak or negative growth in advanced countries. Among the latter, Italy is characterized by one of the fastest aging processes.</w:t>
            </w:r>
            <w:r>
              <w:rPr>
                <w:rFonts w:ascii="Arial" w:hAnsi="Arial" w:cs="Arial"/>
                <w:color w:val="0F1115"/>
                <w:sz w:val="22"/>
                <w:szCs w:val="22"/>
                <w:lang w:val="en-US"/>
              </w:rPr>
              <w:t xml:space="preserve"> </w:t>
            </w:r>
            <w:r w:rsidRPr="001126A7">
              <w:rPr>
                <w:rFonts w:ascii="Arial" w:hAnsi="Arial" w:cs="Arial"/>
                <w:color w:val="0F1115"/>
                <w:sz w:val="22"/>
                <w:szCs w:val="22"/>
                <w:lang w:val="en-US"/>
              </w:rPr>
              <w:t xml:space="preserve">In just three years since 2019, the </w:t>
            </w:r>
            <w:r w:rsidRPr="001126A7">
              <w:rPr>
                <w:rFonts w:ascii="Arial" w:hAnsi="Arial" w:cs="Arial"/>
                <w:color w:val="0F1115"/>
                <w:sz w:val="22"/>
                <w:szCs w:val="22"/>
                <w:lang w:val="en-US"/>
              </w:rPr>
              <w:lastRenderedPageBreak/>
              <w:t xml:space="preserve">number of people conventionally defined as working age (15-64) has decreased by nearly 800,000 units. </w:t>
            </w:r>
          </w:p>
          <w:p w14:paraId="44EEBC70"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 xml:space="preserve">According to </w:t>
            </w:r>
            <w:proofErr w:type="spellStart"/>
            <w:r w:rsidRPr="001126A7">
              <w:rPr>
                <w:rFonts w:ascii="Arial" w:hAnsi="Arial" w:cs="Arial"/>
                <w:color w:val="0F1115"/>
                <w:sz w:val="22"/>
                <w:szCs w:val="22"/>
                <w:lang w:val="en-US"/>
              </w:rPr>
              <w:t>Istat</w:t>
            </w:r>
            <w:proofErr w:type="spellEnd"/>
            <w:r w:rsidRPr="001126A7">
              <w:rPr>
                <w:rFonts w:ascii="Arial" w:hAnsi="Arial" w:cs="Arial"/>
                <w:color w:val="0F1115"/>
                <w:sz w:val="22"/>
                <w:szCs w:val="22"/>
                <w:lang w:val="en-US"/>
              </w:rPr>
              <w:t xml:space="preserve"> demographic projections, in the central scenario, by 2040, the resident population is expected to decrease by 2.5 million people, and those aged 15-64 by over 6 million. The improvement in living and health conditions achieved in recent decades may allow many people to work beyond the conventional limit of 64 years, in line with already ongoing trends, also supported by pension reforms.</w:t>
            </w:r>
          </w:p>
          <w:p w14:paraId="15BFDC8C"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7C7CA1C0"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Certainly, we will need to increase the capacity to employ young people and women, whose participation rates in all areas of the country are truly modest, and in the South are the lowest in Europe. The economy's development prospects will, however, largely depend on the ability to return to a labor productivity growth rate significantly higher than that of the last 25 years, and at least equal to the average observed in other euro area countries.</w:t>
            </w:r>
          </w:p>
          <w:p w14:paraId="54563A1C"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Since 2015, clear progress has been made. Despite the zero contribution of capital accumulation, output per hour worked in the private sector has grown at rates not far from the euro area average. Continuing this trend requires firms to confirm the recent recovery in investment and support innovation.</w:t>
            </w:r>
          </w:p>
          <w:p w14:paraId="0B002BA7"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2097533A"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Significant regulatory changes, such as reducing barriers to entry and simplifying business start-ups, have stimulated competition and increased firm efficiency. This confirms that we must persevere with the reform agenda and overcome the obstacles and disincentives to growth in size that still exist, often implicit in administrative and tax rules. Tax evasion and the spread of undeclared work continue to distort competitive mechanisms to the detriment of firms with greater potential.</w:t>
            </w:r>
          </w:p>
          <w:p w14:paraId="68609C54" w14:textId="77777777" w:rsid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 xml:space="preserve">The annual report devotes a large chapter to competition between firms on these structural issues. An innovative economy requires a skilled workforce, with adequate and continuously updated knowledge. The share of </w:t>
            </w:r>
            <w:r w:rsidRPr="001126A7">
              <w:rPr>
                <w:rFonts w:ascii="Arial" w:hAnsi="Arial" w:cs="Arial"/>
                <w:color w:val="0F1115"/>
                <w:sz w:val="22"/>
                <w:szCs w:val="22"/>
                <w:lang w:val="en-US"/>
              </w:rPr>
              <w:lastRenderedPageBreak/>
              <w:t>graduates among people aged 25-34 is still below 30%, compared to a European average exceeding 40%.</w:t>
            </w:r>
          </w:p>
          <w:p w14:paraId="5D5A2E90"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p>
          <w:p w14:paraId="67B9214D"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Raising the quality of public administration is equally necessary. In all sectors – education, health, justice – besides gaps compared to the European average, there are wide territorial differences. To reduce them and achieve necessary improvements, monitoring systems and effective tools are needed to intervene where minimum quality standards are not met.</w:t>
            </w:r>
          </w:p>
          <w:p w14:paraId="443F82C1"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 xml:space="preserve">Results are affected by delays in the use of digital technologies, the high average age of personnel, and insufficient specialized skills. Our economy's growth capacity is burdened by a complex tax system, which has often been intervened upon without an organic design. A </w:t>
            </w:r>
            <w:proofErr w:type="spellStart"/>
            <w:r w:rsidRPr="001126A7">
              <w:rPr>
                <w:rFonts w:ascii="Arial" w:hAnsi="Arial" w:cs="Arial"/>
                <w:color w:val="0F1115"/>
                <w:sz w:val="22"/>
                <w:szCs w:val="22"/>
                <w:lang w:val="en-US"/>
              </w:rPr>
              <w:t>recomposition</w:t>
            </w:r>
            <w:proofErr w:type="spellEnd"/>
            <w:r w:rsidRPr="001126A7">
              <w:rPr>
                <w:rFonts w:ascii="Arial" w:hAnsi="Arial" w:cs="Arial"/>
                <w:color w:val="0F1115"/>
                <w:sz w:val="22"/>
                <w:szCs w:val="22"/>
                <w:lang w:val="en-US"/>
              </w:rPr>
              <w:t xml:space="preserve"> of the tax burden that reduces the weight of taxation on productive factors can stimulate employment and investment.</w:t>
            </w:r>
          </w:p>
          <w:p w14:paraId="538802A6" w14:textId="77777777" w:rsidR="001126A7" w:rsidRPr="001126A7" w:rsidRDefault="001126A7" w:rsidP="001126A7">
            <w:pPr>
              <w:pStyle w:val="ds-markdown-paragraph"/>
              <w:shd w:val="clear" w:color="auto" w:fill="FFFFFF"/>
              <w:spacing w:before="240" w:beforeAutospacing="0" w:after="240" w:afterAutospacing="0"/>
              <w:rPr>
                <w:rFonts w:ascii="Arial" w:hAnsi="Arial" w:cs="Arial"/>
                <w:color w:val="0F1115"/>
                <w:sz w:val="22"/>
                <w:szCs w:val="22"/>
                <w:lang w:val="en-US"/>
              </w:rPr>
            </w:pPr>
            <w:r w:rsidRPr="001126A7">
              <w:rPr>
                <w:rFonts w:ascii="Arial" w:hAnsi="Arial" w:cs="Arial"/>
                <w:color w:val="0F1115"/>
                <w:sz w:val="22"/>
                <w:szCs w:val="22"/>
                <w:lang w:val="en-US"/>
              </w:rPr>
              <w:t>Reducing the size of public debt is an economic policy priority, regardless of European rules. High debt imposes that a large share of public revenue be destined for interest payments rather than productive uses. After falling significantly in the early years of the Monetary Union, and then only marginally to just over 100% in 2007, with the dual financial and sovereign debt crisis, the debt-to-GDP ratio rose sharply, also due to low nominal growth, despite persistent primary surpluses, remaining around 135% until the outbreak of the pandemic.</w:t>
            </w:r>
          </w:p>
          <w:p w14:paraId="23DA80A9" w14:textId="77777777" w:rsidR="001126A7" w:rsidRPr="001126A7" w:rsidRDefault="001126A7" w:rsidP="001126A7">
            <w:pPr>
              <w:pStyle w:val="ds-markdown-paragraph"/>
              <w:shd w:val="clear" w:color="auto" w:fill="FFFFFF"/>
              <w:spacing w:before="240" w:beforeAutospacing="0"/>
              <w:rPr>
                <w:rFonts w:ascii="Arial" w:hAnsi="Arial" w:cs="Arial"/>
                <w:sz w:val="22"/>
                <w:szCs w:val="22"/>
              </w:rPr>
            </w:pPr>
            <w:r w:rsidRPr="001126A7">
              <w:rPr>
                <w:rFonts w:ascii="Arial" w:hAnsi="Arial" w:cs="Arial"/>
                <w:color w:val="0F1115"/>
                <w:sz w:val="22"/>
                <w:szCs w:val="22"/>
                <w:lang w:val="en-US"/>
              </w:rPr>
              <w:t>Regardless of the causes that brought it to current levels, it is now a priority to ensure continuity in the consolidation process begun in the last two years.</w:t>
            </w:r>
            <w:bookmarkStart w:id="0" w:name="_GoBack"/>
            <w:bookmarkEnd w:id="0"/>
          </w:p>
        </w:tc>
      </w:tr>
    </w:tbl>
    <w:p w14:paraId="14A322AB" w14:textId="77777777" w:rsidR="001126A7" w:rsidRDefault="001126A7"/>
    <w:sectPr w:rsidR="001126A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A7"/>
    <w:rsid w:val="00036100"/>
    <w:rsid w:val="001126A7"/>
    <w:rsid w:val="00A14F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4551"/>
  <w15:chartTrackingRefBased/>
  <w15:docId w15:val="{2134AC72-08F0-4019-8E90-6FCCFF22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126A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12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e"/>
    <w:rsid w:val="001126A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13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393D1B52-9993-4A3C-9453-18FF6642E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6033E-0FA2-496C-8644-198E47D15E2C}">
  <ds:schemaRefs>
    <ds:schemaRef ds:uri="http://schemas.microsoft.com/sharepoint/v3/contenttype/forms"/>
  </ds:schemaRefs>
</ds:datastoreItem>
</file>

<file path=customXml/itemProps3.xml><?xml version="1.0" encoding="utf-8"?>
<ds:datastoreItem xmlns:ds="http://schemas.openxmlformats.org/officeDocument/2006/customXml" ds:itemID="{EF0D1F54-96C7-41CB-A55E-1044A7C27C36}">
  <ds:schemaRefs>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7b36cd2a-e416-480d-8cb2-6a1b4c5e9bac"/>
    <ds:schemaRef ds:uri="e1e98898-a0dd-49e6-bbb3-d9325b830a7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7475</Words>
  <Characters>42609</Characters>
  <Application>Microsoft Office Word</Application>
  <DocSecurity>0</DocSecurity>
  <Lines>355</Lines>
  <Paragraphs>99</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49985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1</cp:revision>
  <dcterms:created xsi:type="dcterms:W3CDTF">2026-04-09T13:26:00Z</dcterms:created>
  <dcterms:modified xsi:type="dcterms:W3CDTF">2026-04-09T13:33:00Z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