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701F" w14:textId="77777777" w:rsidR="009D319E" w:rsidRDefault="009D319E" w:rsidP="009D319E">
      <w:pPr>
        <w:rPr>
          <w:rFonts w:ascii="Arial" w:hAnsi="Arial" w:cs="Arial"/>
          <w:b/>
          <w:bCs/>
          <w:sz w:val="24"/>
          <w:szCs w:val="24"/>
          <w:u w:val="single"/>
          <w:lang w:val="de-DE"/>
        </w:rPr>
      </w:pPr>
      <w:r w:rsidRPr="001E6586">
        <w:rPr>
          <w:rFonts w:ascii="Arial" w:hAnsi="Arial" w:cs="Arial"/>
          <w:b/>
          <w:bCs/>
          <w:sz w:val="24"/>
          <w:szCs w:val="24"/>
          <w:lang w:val="de-DE"/>
        </w:rPr>
        <w:t>B) Leseverst</w:t>
      </w:r>
      <w:r>
        <w:rPr>
          <w:rFonts w:ascii="Arial" w:hAnsi="Arial" w:cs="Arial"/>
          <w:b/>
          <w:bCs/>
          <w:sz w:val="24"/>
          <w:szCs w:val="24"/>
          <w:lang w:val="de-DE"/>
        </w:rPr>
        <w:t xml:space="preserve">ändnis: Lesen Sie den folgenden Text und beantworten Sie </w:t>
      </w:r>
      <w:r>
        <w:rPr>
          <w:rFonts w:ascii="Arial" w:hAnsi="Arial" w:cs="Arial"/>
          <w:b/>
          <w:bCs/>
          <w:sz w:val="24"/>
          <w:szCs w:val="24"/>
          <w:u w:val="single"/>
          <w:lang w:val="de-DE"/>
        </w:rPr>
        <w:t>kurz</w:t>
      </w:r>
      <w:r>
        <w:rPr>
          <w:rFonts w:ascii="Arial" w:hAnsi="Arial" w:cs="Arial"/>
          <w:b/>
          <w:bCs/>
          <w:sz w:val="24"/>
          <w:szCs w:val="24"/>
          <w:lang w:val="de-DE"/>
        </w:rPr>
        <w:t xml:space="preserve"> (1-2 Sätze) die Fragen: (5)</w:t>
      </w:r>
    </w:p>
    <w:tbl>
      <w:tblPr>
        <w:tblW w:w="10017" w:type="dxa"/>
        <w:tblInd w:w="55" w:type="dxa"/>
        <w:tblLayout w:type="fixed"/>
        <w:tblCellMar>
          <w:top w:w="55" w:type="dxa"/>
          <w:left w:w="55" w:type="dxa"/>
          <w:bottom w:w="55" w:type="dxa"/>
          <w:right w:w="55" w:type="dxa"/>
        </w:tblCellMar>
        <w:tblLook w:val="0000" w:firstRow="0" w:lastRow="0" w:firstColumn="0" w:lastColumn="0" w:noHBand="0" w:noVBand="0"/>
      </w:tblPr>
      <w:tblGrid>
        <w:gridCol w:w="8364"/>
        <w:gridCol w:w="850"/>
        <w:gridCol w:w="709"/>
        <w:gridCol w:w="94"/>
      </w:tblGrid>
      <w:tr w:rsidR="009D319E" w:rsidRPr="009D319E" w14:paraId="010DB7F3" w14:textId="77777777" w:rsidTr="009D319E">
        <w:trPr>
          <w:gridAfter w:val="1"/>
          <w:wAfter w:w="94" w:type="dxa"/>
        </w:trPr>
        <w:tc>
          <w:tcPr>
            <w:tcW w:w="9923" w:type="dxa"/>
            <w:gridSpan w:val="3"/>
            <w:tcBorders>
              <w:top w:val="single" w:sz="1" w:space="0" w:color="000000"/>
              <w:left w:val="single" w:sz="1" w:space="0" w:color="000000"/>
              <w:bottom w:val="single" w:sz="1" w:space="0" w:color="000000"/>
              <w:right w:val="single" w:sz="1" w:space="0" w:color="000000"/>
            </w:tcBorders>
          </w:tcPr>
          <w:p w14:paraId="20543373" w14:textId="77777777" w:rsidR="009D319E" w:rsidRPr="00C62F9D" w:rsidRDefault="009D319E" w:rsidP="008D7428">
            <w:pPr>
              <w:pStyle w:val="TabellenInhalt"/>
              <w:jc w:val="center"/>
              <w:rPr>
                <w:rFonts w:cs="Calibri"/>
                <w:sz w:val="24"/>
                <w:szCs w:val="24"/>
                <w:lang w:val="de-DE"/>
              </w:rPr>
            </w:pPr>
            <w:r w:rsidRPr="00C62F9D">
              <w:rPr>
                <w:rFonts w:cs="Calibri"/>
                <w:b/>
                <w:bCs/>
                <w:sz w:val="24"/>
                <w:szCs w:val="24"/>
                <w:u w:val="single"/>
                <w:lang w:val="de-DE"/>
              </w:rPr>
              <w:t>Das deutsche Kaiserreich unter der Führung von Wilhelm II.</w:t>
            </w:r>
          </w:p>
          <w:p w14:paraId="5946829D" w14:textId="77777777" w:rsidR="009D319E" w:rsidRPr="00C62F9D" w:rsidRDefault="009D319E" w:rsidP="008D7428">
            <w:pPr>
              <w:pStyle w:val="Corpotesto"/>
              <w:jc w:val="center"/>
              <w:rPr>
                <w:rFonts w:cs="Calibri"/>
                <w:sz w:val="24"/>
                <w:szCs w:val="24"/>
                <w:lang w:val="de-DE"/>
              </w:rPr>
            </w:pPr>
            <w:r w:rsidRPr="00C62F9D">
              <w:rPr>
                <w:rFonts w:cs="Calibri"/>
                <w:sz w:val="24"/>
                <w:szCs w:val="24"/>
                <w:lang w:val="de-DE"/>
              </w:rPr>
              <w:t xml:space="preserve">Der junge, technikbegeisterte Wilhelm II. hatte Verständnis für die fortschreitende Modernisierung der industriellen Gesellschaft. In Abgrenzung zu seinem als liberal geltenden Vater, dem nach nur 99-tägiger Regentschaft verstorbenen Friedrich III., war Wilhelm II. aber ein starker Gegner des Parlamentarismus. Die von Liberalen und Sozialdemokraten geforderte Einführung einer parlamentarischen Regierungsform war unter ihm nicht möglich. Im Reichstag blieb eine seit 1871 bestehende Fünf-Parteien-Konstellation dominant. Gegenüber dem katholischen Zentrum, den Konservativen sowie den Links- und Nationalliberalen konnten die Sozialdemokraten auch in der „Wilhelminischen Ära“ an Stimmen gewinnen und waren 1912 erstmals die stärkste Reichstagsfraktion. Die Bedeutung der organisierten Arbeiterbewegung wurde mit der fortschreitenden Industrieentwicklung des Reiches größer. Von 1871 bis 1914 versechsfachte Deutschland seine industrielle Produktion und stand damit sogar vor Großbritannien. Dem starken Wirtschaftswachstum stand ein ebenso schneller Aufschwung von Wissenschaft und Forschung zur Seite. Vor dem Ersten Weltkrieg ging jeder dritte Nobelpreis für Naturwissenschaften nach Deutschland. Revolutionäre Fortschritte in der Medizin, technische Errungenschaften wie die Elektrizität oder das Automobil und eine erhöhte Mobilität veränderten die gewohnten Lebenswelten. </w:t>
            </w:r>
          </w:p>
        </w:tc>
      </w:tr>
      <w:tr w:rsidR="009D319E" w14:paraId="4F3F58EC"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0656A2DF" w14:textId="77777777" w:rsidR="009D319E" w:rsidRPr="009D319E" w:rsidRDefault="009D319E" w:rsidP="008D7428">
            <w:pPr>
              <w:pStyle w:val="Corpotesto"/>
              <w:snapToGrid w:val="0"/>
              <w:rPr>
                <w:lang w:val="de-DE"/>
              </w:rPr>
            </w:pPr>
          </w:p>
        </w:tc>
        <w:tc>
          <w:tcPr>
            <w:tcW w:w="850" w:type="dxa"/>
            <w:tcBorders>
              <w:top w:val="single" w:sz="4" w:space="0" w:color="000000"/>
              <w:left w:val="single" w:sz="4" w:space="0" w:color="000000"/>
              <w:bottom w:val="single" w:sz="4" w:space="0" w:color="000000"/>
            </w:tcBorders>
          </w:tcPr>
          <w:p w14:paraId="44B30454" w14:textId="77777777" w:rsidR="009D319E" w:rsidRPr="00944825" w:rsidRDefault="009D319E" w:rsidP="008D7428">
            <w:pPr>
              <w:spacing w:after="0" w:line="100" w:lineRule="atLeast"/>
              <w:rPr>
                <w:b/>
                <w:sz w:val="24"/>
                <w:szCs w:val="24"/>
                <w:lang w:val="de-DE"/>
              </w:rPr>
            </w:pPr>
            <w:r w:rsidRPr="00944825">
              <w:rPr>
                <w:b/>
                <w:sz w:val="24"/>
                <w:szCs w:val="24"/>
                <w:lang w:val="de-DE"/>
              </w:rPr>
              <w:t>richtig</w:t>
            </w:r>
          </w:p>
        </w:tc>
        <w:tc>
          <w:tcPr>
            <w:tcW w:w="803" w:type="dxa"/>
            <w:gridSpan w:val="2"/>
            <w:tcBorders>
              <w:top w:val="single" w:sz="4" w:space="0" w:color="000000"/>
              <w:left w:val="single" w:sz="4" w:space="0" w:color="000000"/>
              <w:bottom w:val="single" w:sz="4" w:space="0" w:color="000000"/>
              <w:right w:val="single" w:sz="4" w:space="0" w:color="000000"/>
            </w:tcBorders>
          </w:tcPr>
          <w:p w14:paraId="22B9DC26" w14:textId="77777777" w:rsidR="009D319E" w:rsidRPr="00944825" w:rsidRDefault="009D319E" w:rsidP="008D7428">
            <w:pPr>
              <w:spacing w:after="0" w:line="100" w:lineRule="atLeast"/>
              <w:rPr>
                <w:sz w:val="24"/>
                <w:szCs w:val="24"/>
              </w:rPr>
            </w:pPr>
            <w:r w:rsidRPr="00944825">
              <w:rPr>
                <w:b/>
                <w:sz w:val="24"/>
                <w:szCs w:val="24"/>
                <w:lang w:val="de-DE"/>
              </w:rPr>
              <w:t>falsch</w:t>
            </w:r>
          </w:p>
        </w:tc>
      </w:tr>
      <w:tr w:rsidR="009D319E" w:rsidRPr="001E6586" w14:paraId="1A59BD1F"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4C433BA3" w14:textId="77777777" w:rsidR="009D319E" w:rsidRDefault="009D319E" w:rsidP="008D7428">
            <w:pPr>
              <w:pStyle w:val="ListParagraph"/>
              <w:ind w:left="0"/>
              <w:rPr>
                <w:rStyle w:val="eop"/>
                <w:rFonts w:ascii="Calibri" w:hAnsi="Calibri" w:cs="Calibri"/>
                <w:lang w:val="de-DE"/>
              </w:rPr>
            </w:pPr>
            <w:r w:rsidRPr="00944825">
              <w:rPr>
                <w:rStyle w:val="normaltextrun"/>
                <w:rFonts w:ascii="Calibri" w:hAnsi="Calibri" w:cs="Calibri"/>
                <w:lang w:val="de-DE"/>
              </w:rPr>
              <w:t>Wilhelm II. war ein moderner Herrscher, aus diesem Grund war er auch für den Parlamentarismus.</w:t>
            </w:r>
            <w:r w:rsidRPr="00944825">
              <w:rPr>
                <w:rStyle w:val="eop"/>
                <w:rFonts w:ascii="Calibri" w:hAnsi="Calibri" w:cs="Calibri"/>
                <w:lang w:val="de-DE"/>
              </w:rPr>
              <w:t> </w:t>
            </w:r>
          </w:p>
          <w:p w14:paraId="4A53B741" w14:textId="77777777" w:rsidR="009D319E" w:rsidRPr="00944825" w:rsidRDefault="009D319E" w:rsidP="008D7428">
            <w:pPr>
              <w:pStyle w:val="ListParagraph"/>
              <w:ind w:left="0"/>
              <w:rPr>
                <w:rFonts w:ascii="Calibri" w:hAnsi="Calibri" w:cs="Calibri"/>
                <w:color w:val="000000"/>
                <w:lang w:val="de-DE"/>
              </w:rPr>
            </w:pPr>
          </w:p>
        </w:tc>
        <w:tc>
          <w:tcPr>
            <w:tcW w:w="850" w:type="dxa"/>
            <w:tcBorders>
              <w:top w:val="single" w:sz="4" w:space="0" w:color="000000"/>
              <w:left w:val="single" w:sz="4" w:space="0" w:color="000000"/>
              <w:bottom w:val="single" w:sz="4" w:space="0" w:color="000000"/>
            </w:tcBorders>
          </w:tcPr>
          <w:p w14:paraId="08AA06B1" w14:textId="77777777" w:rsidR="009D319E" w:rsidRDefault="009D319E" w:rsidP="008D7428">
            <w:pPr>
              <w:snapToGrid w:val="0"/>
              <w:spacing w:after="0" w:line="100" w:lineRule="atLeast"/>
              <w:rPr>
                <w:sz w:val="26"/>
                <w:szCs w:val="26"/>
                <w:lang w:val="de-DE"/>
              </w:rPr>
            </w:pPr>
          </w:p>
        </w:tc>
        <w:tc>
          <w:tcPr>
            <w:tcW w:w="803" w:type="dxa"/>
            <w:gridSpan w:val="2"/>
            <w:tcBorders>
              <w:top w:val="single" w:sz="4" w:space="0" w:color="000000"/>
              <w:left w:val="single" w:sz="4" w:space="0" w:color="000000"/>
              <w:bottom w:val="single" w:sz="4" w:space="0" w:color="000000"/>
              <w:right w:val="single" w:sz="4" w:space="0" w:color="000000"/>
            </w:tcBorders>
          </w:tcPr>
          <w:p w14:paraId="7DCF721D" w14:textId="77777777" w:rsidR="009D319E" w:rsidRDefault="009D319E" w:rsidP="008D7428">
            <w:pPr>
              <w:snapToGrid w:val="0"/>
              <w:spacing w:after="0" w:line="100" w:lineRule="atLeast"/>
              <w:rPr>
                <w:sz w:val="26"/>
                <w:szCs w:val="26"/>
                <w:lang w:val="de-DE"/>
              </w:rPr>
            </w:pPr>
          </w:p>
        </w:tc>
      </w:tr>
      <w:tr w:rsidR="009D319E" w:rsidRPr="001E6586" w14:paraId="2D8823A6"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7FB90807" w14:textId="77777777" w:rsidR="009D319E" w:rsidRDefault="009D319E" w:rsidP="008D7428">
            <w:pPr>
              <w:pStyle w:val="ListParagraph"/>
              <w:ind w:left="0"/>
              <w:rPr>
                <w:rStyle w:val="normaltextrun"/>
                <w:rFonts w:ascii="Calibri" w:hAnsi="Calibri" w:cs="Calibri"/>
                <w:lang w:val="de-DE"/>
              </w:rPr>
            </w:pPr>
            <w:r w:rsidRPr="00944825">
              <w:rPr>
                <w:rStyle w:val="normaltextrun"/>
                <w:rFonts w:ascii="Calibri" w:hAnsi="Calibri" w:cs="Calibri"/>
                <w:lang w:val="de-DE"/>
              </w:rPr>
              <w:t>In den Jahren 1871 bis 1914 ist die deutsche Wirtschaft stark gewachsen.</w:t>
            </w:r>
          </w:p>
          <w:p w14:paraId="7875F677" w14:textId="77777777" w:rsidR="009D319E" w:rsidRPr="00944825" w:rsidRDefault="009D319E" w:rsidP="008D7428">
            <w:pPr>
              <w:pStyle w:val="ListParagraph"/>
              <w:ind w:left="0"/>
              <w:rPr>
                <w:rFonts w:ascii="Calibri" w:hAnsi="Calibri" w:cs="Calibri"/>
                <w:color w:val="000000"/>
                <w:lang w:val="de-DE"/>
              </w:rPr>
            </w:pPr>
          </w:p>
        </w:tc>
        <w:tc>
          <w:tcPr>
            <w:tcW w:w="850" w:type="dxa"/>
            <w:tcBorders>
              <w:top w:val="single" w:sz="4" w:space="0" w:color="000000"/>
              <w:left w:val="single" w:sz="4" w:space="0" w:color="000000"/>
              <w:bottom w:val="single" w:sz="4" w:space="0" w:color="000000"/>
            </w:tcBorders>
          </w:tcPr>
          <w:p w14:paraId="607D323B" w14:textId="77777777" w:rsidR="009D319E" w:rsidRDefault="009D319E" w:rsidP="008D7428">
            <w:pPr>
              <w:snapToGrid w:val="0"/>
              <w:spacing w:after="0" w:line="100" w:lineRule="atLeast"/>
              <w:rPr>
                <w:sz w:val="26"/>
                <w:szCs w:val="26"/>
                <w:lang w:val="de-DE"/>
              </w:rPr>
            </w:pPr>
          </w:p>
        </w:tc>
        <w:tc>
          <w:tcPr>
            <w:tcW w:w="803" w:type="dxa"/>
            <w:gridSpan w:val="2"/>
            <w:tcBorders>
              <w:top w:val="single" w:sz="4" w:space="0" w:color="000000"/>
              <w:left w:val="single" w:sz="4" w:space="0" w:color="000000"/>
              <w:bottom w:val="single" w:sz="4" w:space="0" w:color="000000"/>
              <w:right w:val="single" w:sz="4" w:space="0" w:color="000000"/>
            </w:tcBorders>
          </w:tcPr>
          <w:p w14:paraId="3DFCFD24" w14:textId="77777777" w:rsidR="009D319E" w:rsidRDefault="009D319E" w:rsidP="008D7428">
            <w:pPr>
              <w:snapToGrid w:val="0"/>
              <w:spacing w:after="0" w:line="100" w:lineRule="atLeast"/>
              <w:rPr>
                <w:sz w:val="26"/>
                <w:szCs w:val="26"/>
                <w:lang w:val="de-DE"/>
              </w:rPr>
            </w:pPr>
          </w:p>
        </w:tc>
      </w:tr>
      <w:tr w:rsidR="009D319E" w:rsidRPr="001E6586" w14:paraId="159C7E99"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5ACC5B6A" w14:textId="77777777" w:rsidR="009D319E" w:rsidRPr="00944825" w:rsidRDefault="009D319E" w:rsidP="008D7428">
            <w:pPr>
              <w:pStyle w:val="Corpotesto"/>
              <w:rPr>
                <w:rFonts w:cs="Calibri"/>
                <w:sz w:val="24"/>
                <w:szCs w:val="24"/>
                <w:lang w:val="de-DE"/>
              </w:rPr>
            </w:pPr>
            <w:r w:rsidRPr="00944825">
              <w:rPr>
                <w:rStyle w:val="normaltextrun"/>
                <w:rFonts w:cs="Calibri"/>
                <w:sz w:val="24"/>
                <w:szCs w:val="24"/>
                <w:lang w:val="de-DE"/>
              </w:rPr>
              <w:t>Viele Nobelpreise gingen an deutsche Forscher in den Jahren vor dem Ersten Weltkrieg.</w:t>
            </w:r>
          </w:p>
        </w:tc>
        <w:tc>
          <w:tcPr>
            <w:tcW w:w="850" w:type="dxa"/>
            <w:tcBorders>
              <w:top w:val="single" w:sz="4" w:space="0" w:color="000000"/>
              <w:left w:val="single" w:sz="4" w:space="0" w:color="000000"/>
              <w:bottom w:val="single" w:sz="4" w:space="0" w:color="000000"/>
            </w:tcBorders>
          </w:tcPr>
          <w:p w14:paraId="6CDBCF9E" w14:textId="77777777" w:rsidR="009D319E" w:rsidRDefault="009D319E" w:rsidP="008D7428">
            <w:pPr>
              <w:snapToGrid w:val="0"/>
              <w:spacing w:after="0" w:line="100" w:lineRule="atLeast"/>
              <w:rPr>
                <w:sz w:val="26"/>
                <w:szCs w:val="26"/>
                <w:lang w:val="de-DE"/>
              </w:rPr>
            </w:pPr>
          </w:p>
        </w:tc>
        <w:tc>
          <w:tcPr>
            <w:tcW w:w="803" w:type="dxa"/>
            <w:gridSpan w:val="2"/>
            <w:tcBorders>
              <w:top w:val="single" w:sz="4" w:space="0" w:color="000000"/>
              <w:left w:val="single" w:sz="4" w:space="0" w:color="000000"/>
              <w:bottom w:val="single" w:sz="4" w:space="0" w:color="000000"/>
              <w:right w:val="single" w:sz="4" w:space="0" w:color="000000"/>
            </w:tcBorders>
          </w:tcPr>
          <w:p w14:paraId="47B8BFA2" w14:textId="77777777" w:rsidR="009D319E" w:rsidRDefault="009D319E" w:rsidP="008D7428">
            <w:pPr>
              <w:snapToGrid w:val="0"/>
              <w:spacing w:after="0" w:line="100" w:lineRule="atLeast"/>
              <w:rPr>
                <w:sz w:val="26"/>
                <w:szCs w:val="26"/>
                <w:lang w:val="de-DE"/>
              </w:rPr>
            </w:pPr>
          </w:p>
        </w:tc>
      </w:tr>
      <w:tr w:rsidR="009D319E" w:rsidRPr="001E6586" w14:paraId="081C164F"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2FB177C5" w14:textId="77777777" w:rsidR="009D319E" w:rsidRDefault="009D319E" w:rsidP="008D7428">
            <w:pPr>
              <w:pStyle w:val="ListParagraph"/>
              <w:ind w:left="0"/>
              <w:rPr>
                <w:rStyle w:val="normaltextrun"/>
                <w:rFonts w:ascii="Calibri" w:hAnsi="Calibri" w:cs="Calibri"/>
                <w:lang w:val="de-DE"/>
              </w:rPr>
            </w:pPr>
            <w:r w:rsidRPr="00944825">
              <w:rPr>
                <w:rStyle w:val="normaltextrun"/>
                <w:rFonts w:ascii="Calibri" w:hAnsi="Calibri" w:cs="Calibri"/>
                <w:lang w:val="de-DE"/>
              </w:rPr>
              <w:t>Die Arbeiterbewegung ist immer stärker geworden, das war eine Folge der liberalen Politik von Wilhelm II.</w:t>
            </w:r>
          </w:p>
          <w:p w14:paraId="464C7F48" w14:textId="77777777" w:rsidR="009D319E" w:rsidRPr="00944825" w:rsidRDefault="009D319E" w:rsidP="008D7428">
            <w:pPr>
              <w:pStyle w:val="ListParagraph"/>
              <w:ind w:left="0"/>
              <w:rPr>
                <w:rFonts w:ascii="Calibri" w:hAnsi="Calibri" w:cs="Calibri"/>
                <w:color w:val="000000"/>
                <w:lang w:val="de-DE"/>
              </w:rPr>
            </w:pPr>
          </w:p>
        </w:tc>
        <w:tc>
          <w:tcPr>
            <w:tcW w:w="850" w:type="dxa"/>
            <w:tcBorders>
              <w:top w:val="single" w:sz="4" w:space="0" w:color="000000"/>
              <w:left w:val="single" w:sz="4" w:space="0" w:color="000000"/>
              <w:bottom w:val="single" w:sz="4" w:space="0" w:color="000000"/>
            </w:tcBorders>
          </w:tcPr>
          <w:p w14:paraId="7FBBC844" w14:textId="77777777" w:rsidR="009D319E" w:rsidRDefault="009D319E" w:rsidP="008D7428">
            <w:pPr>
              <w:snapToGrid w:val="0"/>
              <w:spacing w:after="0" w:line="100" w:lineRule="atLeast"/>
              <w:rPr>
                <w:sz w:val="26"/>
                <w:szCs w:val="26"/>
                <w:lang w:val="de-DE"/>
              </w:rPr>
            </w:pPr>
          </w:p>
        </w:tc>
        <w:tc>
          <w:tcPr>
            <w:tcW w:w="803" w:type="dxa"/>
            <w:gridSpan w:val="2"/>
            <w:tcBorders>
              <w:top w:val="single" w:sz="4" w:space="0" w:color="000000"/>
              <w:left w:val="single" w:sz="4" w:space="0" w:color="000000"/>
              <w:bottom w:val="single" w:sz="4" w:space="0" w:color="000000"/>
              <w:right w:val="single" w:sz="4" w:space="0" w:color="000000"/>
            </w:tcBorders>
          </w:tcPr>
          <w:p w14:paraId="61FED41C" w14:textId="77777777" w:rsidR="009D319E" w:rsidRDefault="009D319E" w:rsidP="008D7428">
            <w:pPr>
              <w:snapToGrid w:val="0"/>
              <w:spacing w:after="0" w:line="100" w:lineRule="atLeast"/>
              <w:rPr>
                <w:sz w:val="26"/>
                <w:szCs w:val="26"/>
                <w:lang w:val="de-DE"/>
              </w:rPr>
            </w:pPr>
          </w:p>
        </w:tc>
      </w:tr>
      <w:tr w:rsidR="009D319E" w:rsidRPr="001E6586" w14:paraId="61B0EFEC" w14:textId="77777777" w:rsidTr="009D319E">
        <w:tblPrEx>
          <w:tblCellMar>
            <w:top w:w="0" w:type="dxa"/>
            <w:left w:w="108" w:type="dxa"/>
            <w:bottom w:w="0" w:type="dxa"/>
            <w:right w:w="108" w:type="dxa"/>
          </w:tblCellMar>
        </w:tblPrEx>
        <w:tc>
          <w:tcPr>
            <w:tcW w:w="8364" w:type="dxa"/>
            <w:tcBorders>
              <w:top w:val="single" w:sz="4" w:space="0" w:color="000000"/>
              <w:left w:val="single" w:sz="4" w:space="0" w:color="000000"/>
              <w:bottom w:val="single" w:sz="4" w:space="0" w:color="000000"/>
            </w:tcBorders>
          </w:tcPr>
          <w:p w14:paraId="389089E6" w14:textId="77777777" w:rsidR="009D319E" w:rsidRDefault="009D319E" w:rsidP="008D7428">
            <w:pPr>
              <w:pStyle w:val="ListParagraph"/>
              <w:ind w:left="0"/>
              <w:rPr>
                <w:rStyle w:val="eop"/>
                <w:rFonts w:ascii="Calibri" w:hAnsi="Calibri" w:cs="Calibri"/>
                <w:lang w:val="de-DE"/>
              </w:rPr>
            </w:pPr>
            <w:r w:rsidRPr="00944825">
              <w:rPr>
                <w:rStyle w:val="normaltextrun"/>
                <w:rFonts w:ascii="Calibri" w:hAnsi="Calibri" w:cs="Calibri"/>
                <w:lang w:val="de-DE"/>
              </w:rPr>
              <w:t>Die Sozialdemokraten waren 1912 die stärkste Fraktion im Reichstag.</w:t>
            </w:r>
            <w:r w:rsidRPr="00944825">
              <w:rPr>
                <w:rStyle w:val="eop"/>
                <w:rFonts w:ascii="Calibri" w:hAnsi="Calibri" w:cs="Calibri"/>
                <w:lang w:val="de-DE"/>
              </w:rPr>
              <w:t> </w:t>
            </w:r>
          </w:p>
          <w:p w14:paraId="1C07150C" w14:textId="77777777" w:rsidR="009D319E" w:rsidRPr="00944825" w:rsidRDefault="009D319E" w:rsidP="008D7428">
            <w:pPr>
              <w:pStyle w:val="ListParagraph"/>
              <w:ind w:left="0"/>
              <w:rPr>
                <w:rFonts w:ascii="Calibri" w:hAnsi="Calibri" w:cs="Calibri"/>
                <w:lang w:val="de-DE"/>
              </w:rPr>
            </w:pPr>
          </w:p>
        </w:tc>
        <w:tc>
          <w:tcPr>
            <w:tcW w:w="850" w:type="dxa"/>
            <w:tcBorders>
              <w:top w:val="single" w:sz="4" w:space="0" w:color="000000"/>
              <w:left w:val="single" w:sz="4" w:space="0" w:color="000000"/>
              <w:bottom w:val="single" w:sz="4" w:space="0" w:color="000000"/>
            </w:tcBorders>
          </w:tcPr>
          <w:p w14:paraId="56BF34B1" w14:textId="77777777" w:rsidR="009D319E" w:rsidRDefault="009D319E" w:rsidP="008D7428">
            <w:pPr>
              <w:snapToGrid w:val="0"/>
              <w:spacing w:after="0" w:line="100" w:lineRule="atLeast"/>
              <w:rPr>
                <w:sz w:val="26"/>
                <w:szCs w:val="26"/>
                <w:lang w:val="de-DE"/>
              </w:rPr>
            </w:pPr>
          </w:p>
        </w:tc>
        <w:tc>
          <w:tcPr>
            <w:tcW w:w="803" w:type="dxa"/>
            <w:gridSpan w:val="2"/>
            <w:tcBorders>
              <w:top w:val="single" w:sz="4" w:space="0" w:color="000000"/>
              <w:left w:val="single" w:sz="4" w:space="0" w:color="000000"/>
              <w:bottom w:val="single" w:sz="4" w:space="0" w:color="000000"/>
              <w:right w:val="single" w:sz="4" w:space="0" w:color="000000"/>
            </w:tcBorders>
          </w:tcPr>
          <w:p w14:paraId="00554126" w14:textId="77777777" w:rsidR="009D319E" w:rsidRDefault="009D319E" w:rsidP="008D7428">
            <w:pPr>
              <w:snapToGrid w:val="0"/>
              <w:spacing w:after="0" w:line="100" w:lineRule="atLeast"/>
              <w:rPr>
                <w:sz w:val="26"/>
                <w:szCs w:val="26"/>
                <w:lang w:val="de-DE"/>
              </w:rPr>
            </w:pPr>
          </w:p>
        </w:tc>
      </w:tr>
    </w:tbl>
    <w:p w14:paraId="5BF11583" w14:textId="77777777" w:rsidR="009D319E" w:rsidRPr="001E6586" w:rsidRDefault="009D319E" w:rsidP="009D319E">
      <w:pPr>
        <w:rPr>
          <w:rFonts w:ascii="Arial" w:hAnsi="Arial" w:cs="Arial"/>
          <w:sz w:val="24"/>
          <w:szCs w:val="24"/>
          <w:lang w:val="de-DE"/>
        </w:rPr>
      </w:pPr>
    </w:p>
    <w:p w14:paraId="18CB8F8A" w14:textId="492926CD" w:rsidR="000674E7" w:rsidRPr="009D319E" w:rsidRDefault="000674E7" w:rsidP="009D319E">
      <w:pPr>
        <w:rPr>
          <w:lang w:val="de-DE"/>
        </w:rPr>
      </w:pPr>
    </w:p>
    <w:sectPr w:rsidR="000674E7" w:rsidRPr="009D31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23">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2E"/>
    <w:rsid w:val="000674E7"/>
    <w:rsid w:val="000B74D5"/>
    <w:rsid w:val="004A1BAB"/>
    <w:rsid w:val="00584A2E"/>
    <w:rsid w:val="009D319E"/>
    <w:rsid w:val="00C06399"/>
    <w:rsid w:val="00D4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C9B6"/>
  <w15:chartTrackingRefBased/>
  <w15:docId w15:val="{034D6BB6-CD3E-411B-BC28-62F77A9C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19E"/>
    <w:pPr>
      <w:suppressAutoHyphens/>
      <w:spacing w:after="200" w:line="276" w:lineRule="auto"/>
    </w:pPr>
    <w:rPr>
      <w:rFonts w:ascii="Calibri" w:eastAsia="SimSun" w:hAnsi="Calibri" w:cs="font1323"/>
      <w:kern w:val="0"/>
      <w:lang w:eastAsia="ar-SA"/>
      <w14:ligatures w14:val="none"/>
    </w:rPr>
  </w:style>
  <w:style w:type="paragraph" w:styleId="Titolo1">
    <w:name w:val="heading 1"/>
    <w:basedOn w:val="Normale"/>
    <w:next w:val="Normale"/>
    <w:link w:val="Titolo1Carattere"/>
    <w:uiPriority w:val="9"/>
    <w:qFormat/>
    <w:rsid w:val="00584A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4A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84A2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4A2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4A2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4A2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4A2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4A2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4A2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4A2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4A2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84A2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4A2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4A2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4A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4A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4A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4A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4A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4A2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4A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4A2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4A2E"/>
    <w:rPr>
      <w:i/>
      <w:iCs/>
      <w:color w:val="404040" w:themeColor="text1" w:themeTint="BF"/>
    </w:rPr>
  </w:style>
  <w:style w:type="paragraph" w:styleId="Paragrafoelenco">
    <w:name w:val="List Paragraph"/>
    <w:basedOn w:val="Normale"/>
    <w:uiPriority w:val="34"/>
    <w:qFormat/>
    <w:rsid w:val="00584A2E"/>
    <w:pPr>
      <w:ind w:left="720"/>
      <w:contextualSpacing/>
    </w:pPr>
  </w:style>
  <w:style w:type="character" w:styleId="Enfasiintensa">
    <w:name w:val="Intense Emphasis"/>
    <w:basedOn w:val="Carpredefinitoparagrafo"/>
    <w:uiPriority w:val="21"/>
    <w:qFormat/>
    <w:rsid w:val="00584A2E"/>
    <w:rPr>
      <w:i/>
      <w:iCs/>
      <w:color w:val="2F5496" w:themeColor="accent1" w:themeShade="BF"/>
    </w:rPr>
  </w:style>
  <w:style w:type="paragraph" w:styleId="Citazioneintensa">
    <w:name w:val="Intense Quote"/>
    <w:basedOn w:val="Normale"/>
    <w:next w:val="Normale"/>
    <w:link w:val="CitazioneintensaCarattere"/>
    <w:uiPriority w:val="30"/>
    <w:qFormat/>
    <w:rsid w:val="00584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4A2E"/>
    <w:rPr>
      <w:i/>
      <w:iCs/>
      <w:color w:val="2F5496" w:themeColor="accent1" w:themeShade="BF"/>
    </w:rPr>
  </w:style>
  <w:style w:type="character" w:styleId="Riferimentointenso">
    <w:name w:val="Intense Reference"/>
    <w:basedOn w:val="Carpredefinitoparagrafo"/>
    <w:uiPriority w:val="32"/>
    <w:qFormat/>
    <w:rsid w:val="00584A2E"/>
    <w:rPr>
      <w:b/>
      <w:bCs/>
      <w:smallCaps/>
      <w:color w:val="2F5496" w:themeColor="accent1" w:themeShade="BF"/>
      <w:spacing w:val="5"/>
    </w:rPr>
  </w:style>
  <w:style w:type="paragraph" w:styleId="Corpotesto">
    <w:name w:val="Body Text"/>
    <w:basedOn w:val="Normale"/>
    <w:link w:val="CorpotestoCarattere"/>
    <w:rsid w:val="009D319E"/>
    <w:pPr>
      <w:spacing w:after="120"/>
    </w:pPr>
  </w:style>
  <w:style w:type="character" w:customStyle="1" w:styleId="CorpotestoCarattere">
    <w:name w:val="Corpo testo Carattere"/>
    <w:basedOn w:val="Carpredefinitoparagrafo"/>
    <w:link w:val="Corpotesto"/>
    <w:rsid w:val="009D319E"/>
    <w:rPr>
      <w:rFonts w:ascii="Calibri" w:eastAsia="SimSun" w:hAnsi="Calibri" w:cs="font1323"/>
      <w:kern w:val="0"/>
      <w:lang w:eastAsia="ar-SA"/>
      <w14:ligatures w14:val="none"/>
    </w:rPr>
  </w:style>
  <w:style w:type="paragraph" w:customStyle="1" w:styleId="ListParagraph">
    <w:name w:val="List Paragraph"/>
    <w:basedOn w:val="Normale"/>
    <w:rsid w:val="009D319E"/>
    <w:pPr>
      <w:spacing w:after="0" w:line="100" w:lineRule="atLeast"/>
      <w:ind w:left="720"/>
    </w:pPr>
    <w:rPr>
      <w:rFonts w:ascii="Times New Roman" w:eastAsia="Times New Roman" w:hAnsi="Times New Roman" w:cs="Times New Roman"/>
      <w:sz w:val="24"/>
      <w:szCs w:val="24"/>
    </w:rPr>
  </w:style>
  <w:style w:type="paragraph" w:customStyle="1" w:styleId="TabellenInhalt">
    <w:name w:val="Tabellen Inhalt"/>
    <w:basedOn w:val="Normale"/>
    <w:rsid w:val="009D319E"/>
    <w:pPr>
      <w:suppressLineNumbers/>
    </w:pPr>
  </w:style>
  <w:style w:type="character" w:customStyle="1" w:styleId="normaltextrun">
    <w:name w:val="normaltextrun"/>
    <w:basedOn w:val="Carpredefinitoparagrafo"/>
    <w:rsid w:val="009D319E"/>
  </w:style>
  <w:style w:type="character" w:customStyle="1" w:styleId="eop">
    <w:name w:val="eop"/>
    <w:basedOn w:val="Carpredefinitoparagrafo"/>
    <w:rsid w:val="009D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1</Pages>
  <Words>300</Words>
  <Characters>1712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Kulturhaus Goerz</dc:creator>
  <cp:keywords/>
  <dc:description/>
  <cp:lastModifiedBy>Kulturhaus Goerz</cp:lastModifiedBy>
  <cp:revision>1</cp:revision>
  <dcterms:created xsi:type="dcterms:W3CDTF">2026-04-09T15:58:00Z</dcterms:created>
  <dcterms:modified xsi:type="dcterms:W3CDTF">2026-04-10T08:46:00Z</dcterms:modified>
</cp:coreProperties>
</file>