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9A787" w14:textId="77777777" w:rsidR="000E7DB3" w:rsidRDefault="000E7DB3" w:rsidP="000E7DB3">
      <w:pPr>
        <w:spacing w:after="60"/>
        <w:jc w:val="both"/>
      </w:pPr>
      <w:r>
        <w:rPr>
          <w:b/>
          <w:bCs/>
          <w:color w:val="1F4E79"/>
          <w:sz w:val="38"/>
          <w:szCs w:val="38"/>
        </w:rPr>
        <w:t>Simulazione di Economia Aziendale</w:t>
      </w:r>
    </w:p>
    <w:p w14:paraId="74ECA7FA" w14:textId="77777777" w:rsidR="000E7DB3" w:rsidRDefault="000E7DB3" w:rsidP="000E7DB3">
      <w:pPr>
        <w:spacing w:after="40"/>
        <w:jc w:val="both"/>
      </w:pPr>
      <w:r>
        <w:rPr>
          <w:i/>
          <w:iCs/>
          <w:color w:val="595959"/>
          <w:sz w:val="24"/>
          <w:szCs w:val="24"/>
        </w:rPr>
        <w:t>Seconda prova intermedia · testo e soluzione svolta</w:t>
      </w:r>
    </w:p>
    <w:p w14:paraId="35F51C08" w14:textId="77777777" w:rsidR="000E7DB3" w:rsidRDefault="000E7DB3" w:rsidP="000E7DB3">
      <w:pPr>
        <w:pBdr>
          <w:bottom w:val="single" w:sz="8" w:space="6" w:color="2E75B6"/>
        </w:pBdr>
        <w:spacing w:after="160"/>
        <w:jc w:val="both"/>
      </w:pPr>
      <w:r>
        <w:rPr>
          <w:color w:val="595959"/>
        </w:rPr>
        <w:t>Anno accademico 2025-2026 · prova di esercitazione</w:t>
      </w:r>
    </w:p>
    <w:p w14:paraId="17411C46" w14:textId="77777777" w:rsidR="000E7DB3" w:rsidRDefault="000E7DB3" w:rsidP="000E7DB3">
      <w:pPr>
        <w:spacing w:after="160" w:line="276" w:lineRule="auto"/>
        <w:jc w:val="both"/>
      </w:pPr>
      <w:r>
        <w:rPr>
          <w:i/>
          <w:iCs/>
          <w:color w:val="595959"/>
        </w:rPr>
        <w:t>La presente simulazione riprende l’impianto della prova d’esame, articolandosi in quattro esercizi. L’Esercizio I, di contabilità generale, comprende fra l’altro la cessione di un fattore produttivo pluriennale e la prestazione di un professionista, e è corredato delle informazioni necessarie a redigere le scritture di magazzino sia con il metodo dell’inventario permanente sia con quello dell’inventario intermittente. Gli Esercizi III e IV vertono su operazioni di capitale netto: rispettivamente un aumento di capitale a pagamento e una copertura di perdite. Per ciascun esercizio segue la soluzione svolta e commentata; tutti i prospetti quadrano.</w:t>
      </w:r>
    </w:p>
    <w:p w14:paraId="37E67A34" w14:textId="77777777" w:rsidR="000E7DB3" w:rsidRDefault="000E7DB3" w:rsidP="000E7DB3">
      <w:pPr>
        <w:pStyle w:val="Titolo1"/>
        <w:jc w:val="both"/>
      </w:pPr>
      <w:r>
        <w:t>Esercizio I — Delta S.p.A. (contabilità generale)</w:t>
      </w:r>
    </w:p>
    <w:p w14:paraId="1FEAEF64" w14:textId="77777777" w:rsidR="000E7DB3" w:rsidRDefault="000E7DB3" w:rsidP="000E7DB3">
      <w:pPr>
        <w:spacing w:after="120" w:line="276" w:lineRule="auto"/>
        <w:jc w:val="both"/>
      </w:pPr>
      <w:r>
        <w:t>Al 1° gennaio 2026 la società Delta S.p.A. presenta nella propria contabilità i seguenti saldi: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60"/>
        <w:gridCol w:w="3000"/>
      </w:tblGrid>
      <w:tr w:rsidR="000E7DB3" w14:paraId="63707161" w14:textId="77777777" w:rsidTr="00170D89">
        <w:tblPrEx>
          <w:tblCellMar>
            <w:top w:w="0" w:type="dxa"/>
            <w:bottom w:w="0" w:type="dxa"/>
          </w:tblCellMar>
        </w:tblPrEx>
        <w:trPr>
          <w:tblHeader/>
        </w:trPr>
        <w:tc>
          <w:tcPr>
            <w:tcW w:w="636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12EE8248" w14:textId="77777777" w:rsidR="000E7DB3" w:rsidRDefault="000E7DB3" w:rsidP="000E7DB3">
            <w:pPr>
              <w:jc w:val="both"/>
            </w:pPr>
            <w:r>
              <w:rPr>
                <w:b/>
                <w:bCs/>
                <w:color w:val="1F4E79"/>
              </w:rPr>
              <w:t>Conto</w:t>
            </w:r>
          </w:p>
        </w:tc>
        <w:tc>
          <w:tcPr>
            <w:tcW w:w="3000" w:type="dxa"/>
            <w:tcBorders>
              <w:top w:val="single" w:sz="1" w:space="0" w:color="BBBBBB"/>
              <w:left w:val="single" w:sz="1" w:space="0" w:color="BBBBBB"/>
              <w:bottom w:val="single" w:sz="1" w:space="0" w:color="BBBBBB"/>
              <w:right w:val="single" w:sz="1" w:space="0" w:color="BBBBBB"/>
            </w:tcBorders>
            <w:shd w:val="clear" w:color="auto" w:fill="D5E8F0"/>
            <w:tcMar>
              <w:top w:w="70" w:type="dxa"/>
              <w:left w:w="120" w:type="dxa"/>
              <w:bottom w:w="70" w:type="dxa"/>
              <w:right w:w="120" w:type="dxa"/>
            </w:tcMar>
          </w:tcPr>
          <w:p w14:paraId="6308CB69" w14:textId="77777777" w:rsidR="000E7DB3" w:rsidRDefault="000E7DB3" w:rsidP="000E7DB3">
            <w:pPr>
              <w:jc w:val="both"/>
            </w:pPr>
            <w:r>
              <w:rPr>
                <w:b/>
                <w:bCs/>
                <w:color w:val="1F4E79"/>
              </w:rPr>
              <w:t>Importo (€)</w:t>
            </w:r>
          </w:p>
        </w:tc>
      </w:tr>
      <w:tr w:rsidR="000E7DB3" w14:paraId="4772815F" w14:textId="77777777" w:rsidTr="00170D89">
        <w:tblPrEx>
          <w:tblCellMar>
            <w:top w:w="0" w:type="dxa"/>
            <w:bottom w:w="0" w:type="dxa"/>
          </w:tblCellMar>
        </w:tblPrEx>
        <w:tc>
          <w:tcPr>
            <w:tcW w:w="63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6BBA8834" w14:textId="77777777" w:rsidR="000E7DB3" w:rsidRDefault="000E7DB3" w:rsidP="000E7DB3">
            <w:pPr>
              <w:jc w:val="both"/>
            </w:pPr>
            <w:r>
              <w:t>Autofinanziamento</w:t>
            </w:r>
          </w:p>
        </w:tc>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6E08174B" w14:textId="77777777" w:rsidR="000E7DB3" w:rsidRDefault="000E7DB3" w:rsidP="000E7DB3">
            <w:pPr>
              <w:jc w:val="both"/>
            </w:pPr>
            <w:r>
              <w:t>472.000</w:t>
            </w:r>
          </w:p>
        </w:tc>
      </w:tr>
      <w:tr w:rsidR="000E7DB3" w14:paraId="43C2F949" w14:textId="77777777" w:rsidTr="00170D89">
        <w:tblPrEx>
          <w:tblCellMar>
            <w:top w:w="0" w:type="dxa"/>
            <w:bottom w:w="0" w:type="dxa"/>
          </w:tblCellMar>
        </w:tblPrEx>
        <w:tc>
          <w:tcPr>
            <w:tcW w:w="63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0ED9ED5C" w14:textId="77777777" w:rsidR="000E7DB3" w:rsidRDefault="000E7DB3" w:rsidP="000E7DB3">
            <w:pPr>
              <w:jc w:val="both"/>
            </w:pPr>
            <w:r>
              <w:t>Capitale d’apporto</w:t>
            </w:r>
          </w:p>
        </w:tc>
        <w:tc>
          <w:tcPr>
            <w:tcW w:w="30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59739FB6" w14:textId="77777777" w:rsidR="000E7DB3" w:rsidRDefault="000E7DB3" w:rsidP="000E7DB3">
            <w:pPr>
              <w:jc w:val="both"/>
            </w:pPr>
            <w:r>
              <w:t>600.000</w:t>
            </w:r>
          </w:p>
        </w:tc>
      </w:tr>
      <w:tr w:rsidR="000E7DB3" w14:paraId="4D0F6ECF" w14:textId="77777777" w:rsidTr="00170D89">
        <w:tblPrEx>
          <w:tblCellMar>
            <w:top w:w="0" w:type="dxa"/>
            <w:bottom w:w="0" w:type="dxa"/>
          </w:tblCellMar>
        </w:tblPrEx>
        <w:tc>
          <w:tcPr>
            <w:tcW w:w="63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29E23C23" w14:textId="77777777" w:rsidR="000E7DB3" w:rsidRDefault="000E7DB3" w:rsidP="000E7DB3">
            <w:pPr>
              <w:jc w:val="both"/>
            </w:pPr>
            <w:r>
              <w:t>Cassa e banca</w:t>
            </w:r>
          </w:p>
        </w:tc>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6729E3A7" w14:textId="77777777" w:rsidR="000E7DB3" w:rsidRDefault="000E7DB3" w:rsidP="000E7DB3">
            <w:pPr>
              <w:jc w:val="both"/>
            </w:pPr>
            <w:r>
              <w:t>156.000</w:t>
            </w:r>
          </w:p>
        </w:tc>
      </w:tr>
      <w:tr w:rsidR="000E7DB3" w14:paraId="0DB2F034" w14:textId="77777777" w:rsidTr="00170D89">
        <w:tblPrEx>
          <w:tblCellMar>
            <w:top w:w="0" w:type="dxa"/>
            <w:bottom w:w="0" w:type="dxa"/>
          </w:tblCellMar>
        </w:tblPrEx>
        <w:tc>
          <w:tcPr>
            <w:tcW w:w="63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641ADFAD" w14:textId="77777777" w:rsidR="000E7DB3" w:rsidRDefault="000E7DB3" w:rsidP="000E7DB3">
            <w:pPr>
              <w:jc w:val="both"/>
            </w:pPr>
            <w:r>
              <w:t>Crediti verso clienti</w:t>
            </w:r>
          </w:p>
        </w:tc>
        <w:tc>
          <w:tcPr>
            <w:tcW w:w="30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7603DFF0" w14:textId="77777777" w:rsidR="000E7DB3" w:rsidRDefault="000E7DB3" w:rsidP="000E7DB3">
            <w:pPr>
              <w:jc w:val="both"/>
            </w:pPr>
            <w:r>
              <w:t>200.000</w:t>
            </w:r>
          </w:p>
        </w:tc>
      </w:tr>
      <w:tr w:rsidR="000E7DB3" w14:paraId="2C720DDF" w14:textId="77777777" w:rsidTr="00170D89">
        <w:tblPrEx>
          <w:tblCellMar>
            <w:top w:w="0" w:type="dxa"/>
            <w:bottom w:w="0" w:type="dxa"/>
          </w:tblCellMar>
        </w:tblPrEx>
        <w:tc>
          <w:tcPr>
            <w:tcW w:w="63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24B5B1AA" w14:textId="77777777" w:rsidR="000E7DB3" w:rsidRDefault="000E7DB3" w:rsidP="000E7DB3">
            <w:pPr>
              <w:jc w:val="both"/>
            </w:pPr>
            <w:r>
              <w:t>Debiti tributari per imposte sul reddito</w:t>
            </w:r>
          </w:p>
        </w:tc>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696D9821" w14:textId="77777777" w:rsidR="000E7DB3" w:rsidRDefault="000E7DB3" w:rsidP="000E7DB3">
            <w:pPr>
              <w:jc w:val="both"/>
            </w:pPr>
            <w:r>
              <w:t>30.000</w:t>
            </w:r>
          </w:p>
        </w:tc>
      </w:tr>
      <w:tr w:rsidR="000E7DB3" w14:paraId="1912E9EA" w14:textId="77777777" w:rsidTr="00170D89">
        <w:tblPrEx>
          <w:tblCellMar>
            <w:top w:w="0" w:type="dxa"/>
            <w:bottom w:w="0" w:type="dxa"/>
          </w:tblCellMar>
        </w:tblPrEx>
        <w:tc>
          <w:tcPr>
            <w:tcW w:w="63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2E8ADC5C" w14:textId="77777777" w:rsidR="000E7DB3" w:rsidRDefault="000E7DB3" w:rsidP="000E7DB3">
            <w:pPr>
              <w:jc w:val="both"/>
            </w:pPr>
            <w:r>
              <w:t>Debiti verso fornitori</w:t>
            </w:r>
          </w:p>
        </w:tc>
        <w:tc>
          <w:tcPr>
            <w:tcW w:w="30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20347FAE" w14:textId="77777777" w:rsidR="000E7DB3" w:rsidRDefault="000E7DB3" w:rsidP="000E7DB3">
            <w:pPr>
              <w:jc w:val="both"/>
            </w:pPr>
            <w:r>
              <w:t>140.000</w:t>
            </w:r>
          </w:p>
        </w:tc>
      </w:tr>
      <w:tr w:rsidR="000E7DB3" w14:paraId="00123CA6" w14:textId="77777777" w:rsidTr="00170D89">
        <w:tblPrEx>
          <w:tblCellMar>
            <w:top w:w="0" w:type="dxa"/>
            <w:bottom w:w="0" w:type="dxa"/>
          </w:tblCellMar>
        </w:tblPrEx>
        <w:tc>
          <w:tcPr>
            <w:tcW w:w="63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05A4763A" w14:textId="77777777" w:rsidR="000E7DB3" w:rsidRDefault="000E7DB3" w:rsidP="000E7DB3">
            <w:pPr>
              <w:jc w:val="both"/>
            </w:pPr>
            <w:r>
              <w:t>Fabbricato</w:t>
            </w:r>
          </w:p>
        </w:tc>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115835BD" w14:textId="77777777" w:rsidR="000E7DB3" w:rsidRDefault="000E7DB3" w:rsidP="000E7DB3">
            <w:pPr>
              <w:jc w:val="both"/>
            </w:pPr>
            <w:r>
              <w:t>600.000</w:t>
            </w:r>
          </w:p>
        </w:tc>
      </w:tr>
      <w:tr w:rsidR="000E7DB3" w14:paraId="16392889" w14:textId="77777777" w:rsidTr="00170D89">
        <w:tblPrEx>
          <w:tblCellMar>
            <w:top w:w="0" w:type="dxa"/>
            <w:bottom w:w="0" w:type="dxa"/>
          </w:tblCellMar>
        </w:tblPrEx>
        <w:tc>
          <w:tcPr>
            <w:tcW w:w="63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56AD6D7E" w14:textId="77777777" w:rsidR="000E7DB3" w:rsidRDefault="000E7DB3" w:rsidP="000E7DB3">
            <w:pPr>
              <w:jc w:val="both"/>
            </w:pPr>
            <w:r>
              <w:t>Fondo ammortamento fabbricato</w:t>
            </w:r>
          </w:p>
        </w:tc>
        <w:tc>
          <w:tcPr>
            <w:tcW w:w="30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564E55A9" w14:textId="77777777" w:rsidR="000E7DB3" w:rsidRDefault="000E7DB3" w:rsidP="000E7DB3">
            <w:pPr>
              <w:jc w:val="both"/>
            </w:pPr>
            <w:r>
              <w:t>120.000</w:t>
            </w:r>
          </w:p>
        </w:tc>
      </w:tr>
      <w:tr w:rsidR="000E7DB3" w14:paraId="697F59F1" w14:textId="77777777" w:rsidTr="00170D89">
        <w:tblPrEx>
          <w:tblCellMar>
            <w:top w:w="0" w:type="dxa"/>
            <w:bottom w:w="0" w:type="dxa"/>
          </w:tblCellMar>
        </w:tblPrEx>
        <w:tc>
          <w:tcPr>
            <w:tcW w:w="63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29D4D814" w14:textId="77777777" w:rsidR="000E7DB3" w:rsidRDefault="000E7DB3" w:rsidP="000E7DB3">
            <w:pPr>
              <w:jc w:val="both"/>
            </w:pPr>
            <w:r>
              <w:t>Fondo ammortamento impianti e macchinari</w:t>
            </w:r>
          </w:p>
        </w:tc>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6572359B" w14:textId="77777777" w:rsidR="000E7DB3" w:rsidRDefault="000E7DB3" w:rsidP="000E7DB3">
            <w:pPr>
              <w:jc w:val="both"/>
            </w:pPr>
            <w:r>
              <w:t>160.000</w:t>
            </w:r>
          </w:p>
        </w:tc>
      </w:tr>
      <w:tr w:rsidR="000E7DB3" w14:paraId="2995A252" w14:textId="77777777" w:rsidTr="00170D89">
        <w:tblPrEx>
          <w:tblCellMar>
            <w:top w:w="0" w:type="dxa"/>
            <w:bottom w:w="0" w:type="dxa"/>
          </w:tblCellMar>
        </w:tblPrEx>
        <w:tc>
          <w:tcPr>
            <w:tcW w:w="63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55AA5C33" w14:textId="77777777" w:rsidR="000E7DB3" w:rsidRDefault="000E7DB3" w:rsidP="000E7DB3">
            <w:pPr>
              <w:jc w:val="both"/>
            </w:pPr>
            <w:r>
              <w:t>Fondo ammortamento software</w:t>
            </w:r>
          </w:p>
        </w:tc>
        <w:tc>
          <w:tcPr>
            <w:tcW w:w="30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039FEEB7" w14:textId="77777777" w:rsidR="000E7DB3" w:rsidRDefault="000E7DB3" w:rsidP="000E7DB3">
            <w:pPr>
              <w:jc w:val="both"/>
            </w:pPr>
            <w:r>
              <w:t>24.000</w:t>
            </w:r>
          </w:p>
        </w:tc>
      </w:tr>
      <w:tr w:rsidR="000E7DB3" w14:paraId="385F42FE" w14:textId="77777777" w:rsidTr="00170D89">
        <w:tblPrEx>
          <w:tblCellMar>
            <w:top w:w="0" w:type="dxa"/>
            <w:bottom w:w="0" w:type="dxa"/>
          </w:tblCellMar>
        </w:tblPrEx>
        <w:tc>
          <w:tcPr>
            <w:tcW w:w="63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6C80F456" w14:textId="77777777" w:rsidR="000E7DB3" w:rsidRDefault="000E7DB3" w:rsidP="000E7DB3">
            <w:pPr>
              <w:jc w:val="both"/>
            </w:pPr>
            <w:r>
              <w:t>Fondo svalutazione crediti</w:t>
            </w:r>
          </w:p>
        </w:tc>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2A2A6B33" w14:textId="77777777" w:rsidR="000E7DB3" w:rsidRDefault="000E7DB3" w:rsidP="000E7DB3">
            <w:pPr>
              <w:jc w:val="both"/>
            </w:pPr>
            <w:r>
              <w:t>10.000</w:t>
            </w:r>
          </w:p>
        </w:tc>
      </w:tr>
      <w:tr w:rsidR="000E7DB3" w14:paraId="44873710" w14:textId="77777777" w:rsidTr="00170D89">
        <w:tblPrEx>
          <w:tblCellMar>
            <w:top w:w="0" w:type="dxa"/>
            <w:bottom w:w="0" w:type="dxa"/>
          </w:tblCellMar>
        </w:tblPrEx>
        <w:tc>
          <w:tcPr>
            <w:tcW w:w="63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3999DE58" w14:textId="77777777" w:rsidR="000E7DB3" w:rsidRDefault="000E7DB3" w:rsidP="000E7DB3">
            <w:pPr>
              <w:jc w:val="both"/>
            </w:pPr>
            <w:r>
              <w:t>Fondo TFR</w:t>
            </w:r>
          </w:p>
        </w:tc>
        <w:tc>
          <w:tcPr>
            <w:tcW w:w="30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5EF3A82A" w14:textId="77777777" w:rsidR="000E7DB3" w:rsidRDefault="000E7DB3" w:rsidP="000E7DB3">
            <w:pPr>
              <w:jc w:val="both"/>
            </w:pPr>
            <w:r>
              <w:t>80.000</w:t>
            </w:r>
          </w:p>
        </w:tc>
      </w:tr>
      <w:tr w:rsidR="000E7DB3" w14:paraId="564D500E" w14:textId="77777777" w:rsidTr="00170D89">
        <w:tblPrEx>
          <w:tblCellMar>
            <w:top w:w="0" w:type="dxa"/>
            <w:bottom w:w="0" w:type="dxa"/>
          </w:tblCellMar>
        </w:tblPrEx>
        <w:tc>
          <w:tcPr>
            <w:tcW w:w="63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1258388F" w14:textId="77777777" w:rsidR="000E7DB3" w:rsidRDefault="000E7DB3" w:rsidP="000E7DB3">
            <w:pPr>
              <w:jc w:val="both"/>
            </w:pPr>
            <w:r>
              <w:t>Impianti e macchinari</w:t>
            </w:r>
          </w:p>
        </w:tc>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5D7E6DF6" w14:textId="77777777" w:rsidR="000E7DB3" w:rsidRDefault="000E7DB3" w:rsidP="000E7DB3">
            <w:pPr>
              <w:jc w:val="both"/>
            </w:pPr>
            <w:r>
              <w:t>400.000</w:t>
            </w:r>
          </w:p>
        </w:tc>
      </w:tr>
      <w:tr w:rsidR="000E7DB3" w14:paraId="7D6F944D" w14:textId="77777777" w:rsidTr="00170D89">
        <w:tblPrEx>
          <w:tblCellMar>
            <w:top w:w="0" w:type="dxa"/>
            <w:bottom w:w="0" w:type="dxa"/>
          </w:tblCellMar>
        </w:tblPrEx>
        <w:tc>
          <w:tcPr>
            <w:tcW w:w="63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6F05132F" w14:textId="77777777" w:rsidR="000E7DB3" w:rsidRDefault="000E7DB3" w:rsidP="000E7DB3">
            <w:pPr>
              <w:jc w:val="both"/>
            </w:pPr>
            <w:r>
              <w:t>Materie prime (rimanenze)</w:t>
            </w:r>
          </w:p>
        </w:tc>
        <w:tc>
          <w:tcPr>
            <w:tcW w:w="30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30BDD3B5" w14:textId="77777777" w:rsidR="000E7DB3" w:rsidRDefault="000E7DB3" w:rsidP="000E7DB3">
            <w:pPr>
              <w:jc w:val="both"/>
            </w:pPr>
            <w:r>
              <w:t>100.000</w:t>
            </w:r>
          </w:p>
        </w:tc>
      </w:tr>
      <w:tr w:rsidR="000E7DB3" w14:paraId="5F3C7D0E" w14:textId="77777777" w:rsidTr="00170D89">
        <w:tblPrEx>
          <w:tblCellMar>
            <w:top w:w="0" w:type="dxa"/>
            <w:bottom w:w="0" w:type="dxa"/>
          </w:tblCellMar>
        </w:tblPrEx>
        <w:tc>
          <w:tcPr>
            <w:tcW w:w="636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3C994E1A" w14:textId="77777777" w:rsidR="000E7DB3" w:rsidRDefault="000E7DB3" w:rsidP="000E7DB3">
            <w:pPr>
              <w:jc w:val="both"/>
            </w:pPr>
            <w:r>
              <w:t>Prodotti finiti (rimanenze)</w:t>
            </w:r>
          </w:p>
        </w:tc>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70" w:type="dxa"/>
              <w:left w:w="120" w:type="dxa"/>
              <w:bottom w:w="70" w:type="dxa"/>
              <w:right w:w="120" w:type="dxa"/>
            </w:tcMar>
          </w:tcPr>
          <w:p w14:paraId="6056064C" w14:textId="77777777" w:rsidR="000E7DB3" w:rsidRDefault="000E7DB3" w:rsidP="000E7DB3">
            <w:pPr>
              <w:jc w:val="both"/>
            </w:pPr>
            <w:r>
              <w:t>120.000</w:t>
            </w:r>
          </w:p>
        </w:tc>
      </w:tr>
      <w:tr w:rsidR="000E7DB3" w14:paraId="6123CC7F" w14:textId="77777777" w:rsidTr="00170D89">
        <w:tblPrEx>
          <w:tblCellMar>
            <w:top w:w="0" w:type="dxa"/>
            <w:bottom w:w="0" w:type="dxa"/>
          </w:tblCellMar>
        </w:tblPrEx>
        <w:tc>
          <w:tcPr>
            <w:tcW w:w="636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2E966E0F" w14:textId="77777777" w:rsidR="000E7DB3" w:rsidRDefault="000E7DB3" w:rsidP="000E7DB3">
            <w:pPr>
              <w:jc w:val="both"/>
            </w:pPr>
            <w:r>
              <w:t>Software</w:t>
            </w:r>
          </w:p>
        </w:tc>
        <w:tc>
          <w:tcPr>
            <w:tcW w:w="3000" w:type="dxa"/>
            <w:tcBorders>
              <w:top w:val="single" w:sz="1" w:space="0" w:color="BBBBBB"/>
              <w:left w:val="single" w:sz="1" w:space="0" w:color="BBBBBB"/>
              <w:bottom w:val="single" w:sz="1" w:space="0" w:color="BBBBBB"/>
              <w:right w:val="single" w:sz="1" w:space="0" w:color="BBBBBB"/>
            </w:tcBorders>
            <w:shd w:val="clear" w:color="auto" w:fill="F2F7FB"/>
            <w:tcMar>
              <w:top w:w="70" w:type="dxa"/>
              <w:left w:w="120" w:type="dxa"/>
              <w:bottom w:w="70" w:type="dxa"/>
              <w:right w:w="120" w:type="dxa"/>
            </w:tcMar>
          </w:tcPr>
          <w:p w14:paraId="5C090579" w14:textId="77777777" w:rsidR="000E7DB3" w:rsidRDefault="000E7DB3" w:rsidP="000E7DB3">
            <w:pPr>
              <w:jc w:val="both"/>
            </w:pPr>
            <w:r>
              <w:t>60.000</w:t>
            </w:r>
          </w:p>
        </w:tc>
      </w:tr>
    </w:tbl>
    <w:p w14:paraId="3569004D" w14:textId="77777777" w:rsidR="000E7DB3" w:rsidRDefault="000E7DB3" w:rsidP="000E7DB3">
      <w:pPr>
        <w:spacing w:after="80"/>
        <w:jc w:val="both"/>
      </w:pPr>
    </w:p>
    <w:p w14:paraId="183D4D7C" w14:textId="77777777" w:rsidR="000E7DB3" w:rsidRDefault="000E7DB3" w:rsidP="000E7DB3">
      <w:pPr>
        <w:spacing w:after="120" w:line="276" w:lineRule="auto"/>
        <w:jc w:val="both"/>
      </w:pPr>
      <w:r>
        <w:rPr>
          <w:b/>
          <w:bCs/>
        </w:rPr>
        <w:t>Durante l’esercizio 2026 vengono effettuate le seguenti operazioni:</w:t>
      </w:r>
    </w:p>
    <w:p w14:paraId="02D25AC7" w14:textId="77777777" w:rsidR="000E7DB3" w:rsidRDefault="000E7DB3" w:rsidP="000E7DB3">
      <w:pPr>
        <w:pStyle w:val="Paragrafoelenco"/>
        <w:numPr>
          <w:ilvl w:val="0"/>
          <w:numId w:val="1"/>
        </w:numPr>
        <w:spacing w:after="80" w:line="276" w:lineRule="auto"/>
        <w:contextualSpacing w:val="0"/>
        <w:jc w:val="both"/>
      </w:pPr>
      <w:r>
        <w:t>Si acquistano materie prime per un corrispettivo complessivo di € 240.000, con pagamento immediato.</w:t>
      </w:r>
    </w:p>
    <w:p w14:paraId="5AF137C4" w14:textId="77777777" w:rsidR="000E7DB3" w:rsidRDefault="000E7DB3" w:rsidP="000E7DB3">
      <w:pPr>
        <w:pStyle w:val="Paragrafoelenco"/>
        <w:numPr>
          <w:ilvl w:val="0"/>
          <w:numId w:val="1"/>
        </w:numPr>
        <w:spacing w:after="80" w:line="276" w:lineRule="auto"/>
        <w:contextualSpacing w:val="0"/>
        <w:jc w:val="both"/>
      </w:pPr>
      <w:r>
        <w:t>Si consumano materie prime per un valore complessivo di € 270.000.</w:t>
      </w:r>
    </w:p>
    <w:p w14:paraId="72F5523D" w14:textId="77777777" w:rsidR="000E7DB3" w:rsidRDefault="000E7DB3" w:rsidP="000E7DB3">
      <w:pPr>
        <w:pStyle w:val="Paragrafoelenco"/>
        <w:numPr>
          <w:ilvl w:val="0"/>
          <w:numId w:val="1"/>
        </w:numPr>
        <w:spacing w:after="80" w:line="276" w:lineRule="auto"/>
        <w:contextualSpacing w:val="0"/>
        <w:jc w:val="both"/>
      </w:pPr>
      <w:r>
        <w:t>Grazie all’impiego dei fattori produttivi di cui al punto precedente si ottengono prodotti finiti, che vengono valorizzati sulla base della sola materia prima.</w:t>
      </w:r>
    </w:p>
    <w:p w14:paraId="4860DE8D" w14:textId="77777777" w:rsidR="000E7DB3" w:rsidRDefault="000E7DB3" w:rsidP="000E7DB3">
      <w:pPr>
        <w:pStyle w:val="Paragrafoelenco"/>
        <w:numPr>
          <w:ilvl w:val="0"/>
          <w:numId w:val="1"/>
        </w:numPr>
        <w:spacing w:after="80" w:line="276" w:lineRule="auto"/>
        <w:contextualSpacing w:val="0"/>
        <w:jc w:val="both"/>
      </w:pPr>
      <w:r>
        <w:lastRenderedPageBreak/>
        <w:t>Si vendono prodotti finiti per un corrispettivo complessivo di € 800.000, di cui il 50% per pronta cassa e il resto a credito.</w:t>
      </w:r>
    </w:p>
    <w:p w14:paraId="4746B2BF" w14:textId="77777777" w:rsidR="000E7DB3" w:rsidRDefault="000E7DB3" w:rsidP="000E7DB3">
      <w:pPr>
        <w:pStyle w:val="Paragrafoelenco"/>
        <w:numPr>
          <w:ilvl w:val="0"/>
          <w:numId w:val="1"/>
        </w:numPr>
        <w:spacing w:after="80" w:line="276" w:lineRule="auto"/>
        <w:contextualSpacing w:val="0"/>
        <w:jc w:val="both"/>
      </w:pPr>
      <w:r>
        <w:t>Si cede un macchinario non più utilizzato (costo storico € 100.000, fondo ammortamento già accantonato € 60.000) al prezzo di € 50.000, con incasso immediato.</w:t>
      </w:r>
    </w:p>
    <w:p w14:paraId="7E4415F6" w14:textId="77777777" w:rsidR="000E7DB3" w:rsidRDefault="000E7DB3" w:rsidP="000E7DB3">
      <w:pPr>
        <w:pStyle w:val="Paragrafoelenco"/>
        <w:numPr>
          <w:ilvl w:val="0"/>
          <w:numId w:val="1"/>
        </w:numPr>
        <w:spacing w:after="80" w:line="276" w:lineRule="auto"/>
        <w:contextualSpacing w:val="0"/>
        <w:jc w:val="both"/>
      </w:pPr>
      <w:r>
        <w:t>Ci si avvale della prestazione di un professionista, il cui onorario ammonta a € 20.000. In fattura il professionista addebita il contributo previdenziale integrativo del 4% (a carico del committente); sull’onorario si opera una ritenuta d’acconto del 20%. Il netto viene corrisposto al professionista e la ritenuta versata all’erario entro l’esercizio.</w:t>
      </w:r>
    </w:p>
    <w:p w14:paraId="150B70A3" w14:textId="77777777" w:rsidR="000E7DB3" w:rsidRDefault="000E7DB3" w:rsidP="000E7DB3">
      <w:pPr>
        <w:pStyle w:val="Paragrafoelenco"/>
        <w:numPr>
          <w:ilvl w:val="0"/>
          <w:numId w:val="1"/>
        </w:numPr>
        <w:spacing w:after="80" w:line="276" w:lineRule="auto"/>
        <w:contextualSpacing w:val="0"/>
        <w:jc w:val="both"/>
      </w:pPr>
      <w:r>
        <w:t>Si sostengono costi per il personale dipendente: retribuzioni lorde € 150.000; contributi a carico del lavoratore pari al 9% delle retribuzioni lorde; ritenute fiscali con aliquota media del 25% (si veda l’avvertenza sulla base di calcolo nelle informazioni di fine esercizio); contributi a carico dell’impresa € 45.000. Le posizioni debitorie vengono chiuse entro la fine dell’esercizio.</w:t>
      </w:r>
    </w:p>
    <w:p w14:paraId="72ECD0D6" w14:textId="77777777" w:rsidR="000E7DB3" w:rsidRDefault="000E7DB3" w:rsidP="000E7DB3">
      <w:pPr>
        <w:pStyle w:val="Paragrafoelenco"/>
        <w:numPr>
          <w:ilvl w:val="0"/>
          <w:numId w:val="1"/>
        </w:numPr>
        <w:spacing w:after="80" w:line="276" w:lineRule="auto"/>
        <w:contextualSpacing w:val="0"/>
        <w:jc w:val="both"/>
      </w:pPr>
      <w:r>
        <w:t>Si incassa l’80% dei crediti presenti in rimanenza iniziale; del residuo, un credito inesigibile di € 10.000 viene stralciato definitivamente utilizzando il fondo svalutazione già stanziato.</w:t>
      </w:r>
    </w:p>
    <w:p w14:paraId="6D72E8A0" w14:textId="77777777" w:rsidR="000E7DB3" w:rsidRDefault="000E7DB3" w:rsidP="000E7DB3">
      <w:pPr>
        <w:spacing w:after="60"/>
        <w:jc w:val="both"/>
      </w:pPr>
    </w:p>
    <w:p w14:paraId="6C533776" w14:textId="77777777" w:rsidR="000E7DB3" w:rsidRDefault="000E7DB3" w:rsidP="000E7DB3">
      <w:pPr>
        <w:spacing w:after="120" w:line="276" w:lineRule="auto"/>
        <w:jc w:val="both"/>
      </w:pPr>
      <w:r>
        <w:rPr>
          <w:b/>
          <w:bCs/>
        </w:rPr>
        <w:t>Informazioni per le scritture di fine esercizio:</w:t>
      </w:r>
    </w:p>
    <w:p w14:paraId="4F83AC04" w14:textId="77777777" w:rsidR="000E7DB3" w:rsidRDefault="000E7DB3" w:rsidP="000E7DB3">
      <w:pPr>
        <w:pStyle w:val="Paragrafoelenco"/>
        <w:numPr>
          <w:ilvl w:val="0"/>
          <w:numId w:val="2"/>
        </w:numPr>
        <w:spacing w:after="80" w:line="276" w:lineRule="auto"/>
        <w:contextualSpacing w:val="0"/>
        <w:jc w:val="both"/>
      </w:pPr>
      <w:r>
        <w:t>Le rimanenze finali, accertate per inventario fisico, ammontano a € 70.000 per le materie prime e a € 90.000 per i prodotti finiti.</w:t>
      </w:r>
    </w:p>
    <w:p w14:paraId="096B02ED" w14:textId="77777777" w:rsidR="000E7DB3" w:rsidRDefault="000E7DB3" w:rsidP="000E7DB3">
      <w:pPr>
        <w:pStyle w:val="Paragrafoelenco"/>
        <w:numPr>
          <w:ilvl w:val="0"/>
          <w:numId w:val="2"/>
        </w:numPr>
        <w:spacing w:after="80" w:line="276" w:lineRule="auto"/>
        <w:contextualSpacing w:val="0"/>
        <w:jc w:val="both"/>
      </w:pPr>
      <w:r>
        <w:t>Le scritture di magazzino vanno redatte in due varianti: con il metodo dell’inventario permanente e con quello dell’inventario intermittente.</w:t>
      </w:r>
    </w:p>
    <w:p w14:paraId="695C0008" w14:textId="77777777" w:rsidR="000E7DB3" w:rsidRDefault="000E7DB3" w:rsidP="000E7DB3">
      <w:pPr>
        <w:pStyle w:val="Paragrafoelenco"/>
        <w:numPr>
          <w:ilvl w:val="0"/>
          <w:numId w:val="2"/>
        </w:numPr>
        <w:spacing w:after="80" w:line="276" w:lineRule="auto"/>
        <w:contextualSpacing w:val="0"/>
        <w:jc w:val="both"/>
      </w:pPr>
      <w:r>
        <w:t>Vite utili: fabbricato 25 anni; impianti e macchinari 10 anni; software 5 anni. Il macchinario ceduto non è soggetto ad ammortamento nell’esercizio.</w:t>
      </w:r>
    </w:p>
    <w:p w14:paraId="097A2D1E" w14:textId="77777777" w:rsidR="000E7DB3" w:rsidRDefault="000E7DB3" w:rsidP="000E7DB3">
      <w:pPr>
        <w:pStyle w:val="Paragrafoelenco"/>
        <w:numPr>
          <w:ilvl w:val="0"/>
          <w:numId w:val="2"/>
        </w:numPr>
        <w:spacing w:after="80" w:line="276" w:lineRule="auto"/>
        <w:contextualSpacing w:val="0"/>
        <w:jc w:val="both"/>
      </w:pPr>
      <w:r>
        <w:t>La quota di accantonamento al fondo TFR di competenza dell’esercizio ammonta a € 11.000.</w:t>
      </w:r>
    </w:p>
    <w:p w14:paraId="2F219531" w14:textId="77777777" w:rsidR="000E7DB3" w:rsidRDefault="000E7DB3" w:rsidP="000E7DB3">
      <w:pPr>
        <w:pStyle w:val="Paragrafoelenco"/>
        <w:numPr>
          <w:ilvl w:val="0"/>
          <w:numId w:val="2"/>
        </w:numPr>
        <w:spacing w:after="80" w:line="276" w:lineRule="auto"/>
        <w:contextualSpacing w:val="0"/>
        <w:jc w:val="both"/>
      </w:pPr>
      <w:r>
        <w:t>Le ritenute fiscali sui redditi di lavoro dipendente si calcolano sull’imponibile fiscale, pari alla retribuzione lorda diminuita dei contributi a carico del lavoratore.</w:t>
      </w:r>
    </w:p>
    <w:p w14:paraId="3665429B" w14:textId="77777777" w:rsidR="000E7DB3" w:rsidRDefault="000E7DB3" w:rsidP="000E7DB3">
      <w:pPr>
        <w:spacing w:after="40"/>
        <w:jc w:val="both"/>
      </w:pPr>
    </w:p>
    <w:p w14:paraId="65B90AEC" w14:textId="77777777" w:rsidR="000E7DB3" w:rsidRDefault="000E7DB3" w:rsidP="000E7DB3">
      <w:pPr>
        <w:spacing w:after="80" w:line="276" w:lineRule="auto"/>
        <w:jc w:val="both"/>
      </w:pPr>
      <w:r>
        <w:t>Si richiede di: 1) predisporre la situazione patrimoniale al 01.01.2026; 2) redigere tutte le scritture contabili, comprese quelle di assestamento, nelle due varianti di inventario (a scelta dello studente; 3) predisporre la situazione economica al 31.12.2026; 4) predisporre la situazione patrimoniale al 31.12.2026. Si prescinda dall’IVA.</w:t>
      </w:r>
    </w:p>
    <w:p w14:paraId="06E4FF0B" w14:textId="77777777" w:rsidR="000E7DB3" w:rsidRDefault="000E7DB3" w:rsidP="000E7DB3">
      <w:pPr>
        <w:pStyle w:val="Titolo1"/>
        <w:jc w:val="both"/>
      </w:pPr>
      <w:r>
        <w:t>Esercizio II — Beta S.p.A. (mutuo passivo)</w:t>
      </w:r>
    </w:p>
    <w:p w14:paraId="1A18ED6A" w14:textId="77777777" w:rsidR="000E7DB3" w:rsidRDefault="000E7DB3" w:rsidP="000E7DB3">
      <w:pPr>
        <w:spacing w:after="80" w:line="276" w:lineRule="auto"/>
        <w:jc w:val="both"/>
      </w:pPr>
      <w:r>
        <w:t>In data 1° aprile 2026 la società Beta S.p.A. stipula con una banca un mutuo passivo decennale di importo pari a € 500.000. Il tasso di interesse semplice applicato è fisso e pari al 4% annuo. Il piano di ammortamento prevede rate semestrali posticipate a quota capitale costante. Si redigano le scritture contabili relative all’esercizio 2026.</w:t>
      </w:r>
    </w:p>
    <w:p w14:paraId="4958B9A0" w14:textId="77777777" w:rsidR="000E7DB3" w:rsidRDefault="000E7DB3" w:rsidP="000E7DB3">
      <w:pPr>
        <w:pStyle w:val="Titolo1"/>
        <w:jc w:val="both"/>
      </w:pPr>
      <w:r>
        <w:lastRenderedPageBreak/>
        <w:t>Esercizio III — Epsilon S.p.A. (aumento di capitale a pagamento)</w:t>
      </w:r>
    </w:p>
    <w:p w14:paraId="6BD5F8DA" w14:textId="77777777" w:rsidR="000E7DB3" w:rsidRDefault="000E7DB3" w:rsidP="000E7DB3">
      <w:pPr>
        <w:spacing w:after="120" w:line="276" w:lineRule="auto"/>
        <w:jc w:val="both"/>
      </w:pPr>
      <w:r>
        <w:t>La società Epsilon S.p.A. presenta un capitale netto così composto: capitale sociale € 300.000, fondo sovrapprezzo azioni € 60.000 e riserve di utili € 90.000. Il valore nominale unitario delle azioni è di € 5.</w:t>
      </w:r>
    </w:p>
    <w:p w14:paraId="0AB8B936" w14:textId="77777777" w:rsidR="000E7DB3" w:rsidRDefault="000E7DB3" w:rsidP="000E7DB3">
      <w:pPr>
        <w:spacing w:after="120" w:line="276" w:lineRule="auto"/>
        <w:jc w:val="both"/>
      </w:pPr>
      <w:r>
        <w:t>La società delibera un aumento di capitale a pagamento mediante l’emissione di 20.000 nuove azioni, a un prezzo pari al valore contabile unitario delle azioni preesistenti (emissione sopra la pari, con sovrapprezzo pari al sovrapprezzo teorico). L’apporto è versato integralmente in denaro.</w:t>
      </w:r>
    </w:p>
    <w:p w14:paraId="6BA60363" w14:textId="77777777" w:rsidR="000E7DB3" w:rsidRDefault="000E7DB3" w:rsidP="000E7DB3">
      <w:pPr>
        <w:spacing w:after="80" w:line="276" w:lineRule="auto"/>
        <w:jc w:val="both"/>
      </w:pPr>
      <w:r>
        <w:t>Si richiede di: determinare il valore contabile unitario e il sovrapprezzo teorico; redigere le scritture contabili dell’aumento; determinare il valore contabile unitario dopo l’operazione.</w:t>
      </w:r>
    </w:p>
    <w:p w14:paraId="5ADCE4B3" w14:textId="77777777" w:rsidR="000E7DB3" w:rsidRDefault="000E7DB3" w:rsidP="000E7DB3">
      <w:pPr>
        <w:pStyle w:val="Titolo1"/>
        <w:jc w:val="both"/>
      </w:pPr>
      <w:r>
        <w:t>Esercizio IV — Zeta S.p.A. (copertura delle perdite)</w:t>
      </w:r>
    </w:p>
    <w:p w14:paraId="673E8B0E" w14:textId="77777777" w:rsidR="000E7DB3" w:rsidRDefault="000E7DB3" w:rsidP="000E7DB3">
      <w:pPr>
        <w:spacing w:after="120" w:line="276" w:lineRule="auto"/>
        <w:jc w:val="both"/>
      </w:pPr>
      <w:r>
        <w:t>La società Zeta S.p.A. presenta il seguente capitale netto: capitale sociale € 500.000 (50.000 azioni del valore nominale di € 10), riserva legale € 60.000, riserva straordinaria € 40.000. L’esercizio si chiude con una perdita di € 150.000.</w:t>
      </w:r>
    </w:p>
    <w:p w14:paraId="43011CCE" w14:textId="7235FF62" w:rsidR="00AC508C" w:rsidRDefault="000E7DB3" w:rsidP="000E7DB3">
      <w:pPr>
        <w:jc w:val="both"/>
      </w:pPr>
      <w:r>
        <w:t>L’assemblea delibera la copertura integrale della perdita, utilizzando le riserve disponibili secondo l’ordine corretto e, per la parte residua, riducendo il capitale sociale mediante abbattimento del valore nominale unitario. Si richiede di redigere le scritture di copertura e di indicare la composizione del capitale netto al termine dell’operazione</w:t>
      </w:r>
      <w:r>
        <w:t>.</w:t>
      </w:r>
    </w:p>
    <w:sectPr w:rsidR="00AC508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A62B2"/>
    <w:multiLevelType w:val="hybridMultilevel"/>
    <w:tmpl w:val="4798F7C0"/>
    <w:lvl w:ilvl="0" w:tplc="34226478">
      <w:start w:val="1"/>
      <w:numFmt w:val="decimal"/>
      <w:lvlText w:val="%1."/>
      <w:lvlJc w:val="left"/>
      <w:pPr>
        <w:ind w:left="600" w:hanging="360"/>
      </w:pPr>
    </w:lvl>
    <w:lvl w:ilvl="1" w:tplc="CCD0D906">
      <w:numFmt w:val="decimal"/>
      <w:lvlText w:val=""/>
      <w:lvlJc w:val="left"/>
    </w:lvl>
    <w:lvl w:ilvl="2" w:tplc="604E18FC">
      <w:numFmt w:val="decimal"/>
      <w:lvlText w:val=""/>
      <w:lvlJc w:val="left"/>
    </w:lvl>
    <w:lvl w:ilvl="3" w:tplc="FF3C4A0A">
      <w:numFmt w:val="decimal"/>
      <w:lvlText w:val=""/>
      <w:lvlJc w:val="left"/>
    </w:lvl>
    <w:lvl w:ilvl="4" w:tplc="FA8C965A">
      <w:numFmt w:val="decimal"/>
      <w:lvlText w:val=""/>
      <w:lvlJc w:val="left"/>
    </w:lvl>
    <w:lvl w:ilvl="5" w:tplc="634E3B56">
      <w:numFmt w:val="decimal"/>
      <w:lvlText w:val=""/>
      <w:lvlJc w:val="left"/>
    </w:lvl>
    <w:lvl w:ilvl="6" w:tplc="AA2855B8">
      <w:numFmt w:val="decimal"/>
      <w:lvlText w:val=""/>
      <w:lvlJc w:val="left"/>
    </w:lvl>
    <w:lvl w:ilvl="7" w:tplc="D9343C76">
      <w:numFmt w:val="decimal"/>
      <w:lvlText w:val=""/>
      <w:lvlJc w:val="left"/>
    </w:lvl>
    <w:lvl w:ilvl="8" w:tplc="EB6C4C08">
      <w:numFmt w:val="decimal"/>
      <w:lvlText w:val=""/>
      <w:lvlJc w:val="left"/>
    </w:lvl>
  </w:abstractNum>
  <w:abstractNum w:abstractNumId="1" w15:restartNumberingAfterBreak="0">
    <w:nsid w:val="3DFA5FEF"/>
    <w:multiLevelType w:val="hybridMultilevel"/>
    <w:tmpl w:val="57001F18"/>
    <w:lvl w:ilvl="0" w:tplc="57B641BE">
      <w:start w:val="1"/>
      <w:numFmt w:val="bullet"/>
      <w:lvlText w:val="•"/>
      <w:lvlJc w:val="left"/>
      <w:pPr>
        <w:ind w:left="600" w:hanging="360"/>
      </w:pPr>
    </w:lvl>
    <w:lvl w:ilvl="1" w:tplc="A4828AEA">
      <w:numFmt w:val="decimal"/>
      <w:lvlText w:val=""/>
      <w:lvlJc w:val="left"/>
    </w:lvl>
    <w:lvl w:ilvl="2" w:tplc="AB44EA3E">
      <w:numFmt w:val="decimal"/>
      <w:lvlText w:val=""/>
      <w:lvlJc w:val="left"/>
    </w:lvl>
    <w:lvl w:ilvl="3" w:tplc="EC1C81CC">
      <w:numFmt w:val="decimal"/>
      <w:lvlText w:val=""/>
      <w:lvlJc w:val="left"/>
    </w:lvl>
    <w:lvl w:ilvl="4" w:tplc="D4CE97B4">
      <w:numFmt w:val="decimal"/>
      <w:lvlText w:val=""/>
      <w:lvlJc w:val="left"/>
    </w:lvl>
    <w:lvl w:ilvl="5" w:tplc="7D62A72C">
      <w:numFmt w:val="decimal"/>
      <w:lvlText w:val=""/>
      <w:lvlJc w:val="left"/>
    </w:lvl>
    <w:lvl w:ilvl="6" w:tplc="E3605700">
      <w:numFmt w:val="decimal"/>
      <w:lvlText w:val=""/>
      <w:lvlJc w:val="left"/>
    </w:lvl>
    <w:lvl w:ilvl="7" w:tplc="12385DFE">
      <w:numFmt w:val="decimal"/>
      <w:lvlText w:val=""/>
      <w:lvlJc w:val="left"/>
    </w:lvl>
    <w:lvl w:ilvl="8" w:tplc="41084E10">
      <w:numFmt w:val="decimal"/>
      <w:lvlText w:val=""/>
      <w:lvlJc w:val="left"/>
    </w:lvl>
  </w:abstractNum>
  <w:num w:numId="1" w16cid:durableId="1790395854">
    <w:abstractNumId w:val="0"/>
    <w:lvlOverride w:ilvl="0">
      <w:startOverride w:val="1"/>
    </w:lvlOverride>
  </w:num>
  <w:num w:numId="2" w16cid:durableId="30501469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B3"/>
    <w:rsid w:val="000E7DB3"/>
    <w:rsid w:val="00277A4C"/>
    <w:rsid w:val="0071600A"/>
    <w:rsid w:val="00AC508C"/>
    <w:rsid w:val="00C704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56F1"/>
  <w15:chartTrackingRefBased/>
  <w15:docId w15:val="{26A77C9C-50C1-4DD1-9087-01541E8A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E7DB3"/>
    <w:pPr>
      <w:spacing w:after="0" w:line="240" w:lineRule="auto"/>
    </w:pPr>
    <w:rPr>
      <w:rFonts w:ascii="Arial" w:eastAsia="Arial" w:hAnsi="Arial" w:cs="Arial"/>
      <w:kern w:val="0"/>
      <w:sz w:val="22"/>
      <w:szCs w:val="22"/>
      <w:lang w:eastAsia="it-IT"/>
      <w14:ligatures w14:val="none"/>
    </w:rPr>
  </w:style>
  <w:style w:type="paragraph" w:styleId="Titolo1">
    <w:name w:val="heading 1"/>
    <w:basedOn w:val="Normale"/>
    <w:next w:val="Normale"/>
    <w:link w:val="Titolo1Carattere"/>
    <w:uiPriority w:val="9"/>
    <w:qFormat/>
    <w:rsid w:val="000E7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E7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E7DB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E7DB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E7DB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E7DB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E7DB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E7DB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E7DB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E7DB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E7DB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E7DB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E7DB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E7DB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E7DB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E7DB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E7DB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E7DB3"/>
    <w:rPr>
      <w:rFonts w:eastAsiaTheme="majorEastAsia" w:cstheme="majorBidi"/>
      <w:color w:val="272727" w:themeColor="text1" w:themeTint="D8"/>
    </w:rPr>
  </w:style>
  <w:style w:type="paragraph" w:styleId="Titolo">
    <w:name w:val="Title"/>
    <w:basedOn w:val="Normale"/>
    <w:next w:val="Normale"/>
    <w:link w:val="TitoloCarattere"/>
    <w:uiPriority w:val="10"/>
    <w:qFormat/>
    <w:rsid w:val="000E7DB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E7DB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E7DB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E7DB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E7DB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E7DB3"/>
    <w:rPr>
      <w:i/>
      <w:iCs/>
      <w:color w:val="404040" w:themeColor="text1" w:themeTint="BF"/>
    </w:rPr>
  </w:style>
  <w:style w:type="paragraph" w:styleId="Paragrafoelenco">
    <w:name w:val="List Paragraph"/>
    <w:basedOn w:val="Normale"/>
    <w:qFormat/>
    <w:rsid w:val="000E7DB3"/>
    <w:pPr>
      <w:ind w:left="720"/>
      <w:contextualSpacing/>
    </w:pPr>
  </w:style>
  <w:style w:type="character" w:styleId="Enfasiintensa">
    <w:name w:val="Intense Emphasis"/>
    <w:basedOn w:val="Carpredefinitoparagrafo"/>
    <w:uiPriority w:val="21"/>
    <w:qFormat/>
    <w:rsid w:val="000E7DB3"/>
    <w:rPr>
      <w:i/>
      <w:iCs/>
      <w:color w:val="0F4761" w:themeColor="accent1" w:themeShade="BF"/>
    </w:rPr>
  </w:style>
  <w:style w:type="paragraph" w:styleId="Citazioneintensa">
    <w:name w:val="Intense Quote"/>
    <w:basedOn w:val="Normale"/>
    <w:next w:val="Normale"/>
    <w:link w:val="CitazioneintensaCarattere"/>
    <w:uiPriority w:val="30"/>
    <w:qFormat/>
    <w:rsid w:val="000E7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E7DB3"/>
    <w:rPr>
      <w:i/>
      <w:iCs/>
      <w:color w:val="0F4761" w:themeColor="accent1" w:themeShade="BF"/>
    </w:rPr>
  </w:style>
  <w:style w:type="character" w:styleId="Riferimentointenso">
    <w:name w:val="Intense Reference"/>
    <w:basedOn w:val="Carpredefinitoparagrafo"/>
    <w:uiPriority w:val="32"/>
    <w:qFormat/>
    <w:rsid w:val="000E7D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5060</Characters>
  <Application>Microsoft Office Word</Application>
  <DocSecurity>0</DocSecurity>
  <Lines>42</Lines>
  <Paragraphs>11</Paragraphs>
  <ScaleCrop>false</ScaleCrop>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ROSSI PAOLA</dc:creator>
  <cp:keywords/>
  <dc:description/>
  <cp:lastModifiedBy>ROSSI PAOLA</cp:lastModifiedBy>
  <cp:revision>2</cp:revision>
  <dcterms:created xsi:type="dcterms:W3CDTF">2026-05-27T13:11:00Z</dcterms:created>
  <dcterms:modified xsi:type="dcterms:W3CDTF">2026-05-27T13:13:00Z</dcterms:modified>
</cp:coreProperties>
</file>