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5F84D" w14:textId="77777777" w:rsidR="00857FD4" w:rsidRPr="00E03BC1" w:rsidRDefault="00857FD4" w:rsidP="00857FD4">
      <w:pPr>
        <w:rPr>
          <w:lang w:val="ru-RU"/>
        </w:rPr>
      </w:pPr>
      <w:r>
        <w:rPr>
          <w:lang w:val="ru-RU"/>
        </w:rPr>
        <w:t xml:space="preserve">С. </w:t>
      </w:r>
      <w:proofErr w:type="gramStart"/>
      <w:r>
        <w:rPr>
          <w:lang w:val="ru-RU"/>
        </w:rPr>
        <w:t>30-33</w:t>
      </w:r>
      <w:proofErr w:type="gramEnd"/>
    </w:p>
    <w:p w14:paraId="3F83948A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Художественная литература говорит на особом языке, который надстраивается над естественным языком как вторичная система</w:t>
      </w:r>
      <w:r w:rsidRPr="003803D0">
        <w:rPr>
          <w:rFonts w:ascii="Arial" w:hAnsi="Arial" w:cs="Arial"/>
          <w:color w:val="000000"/>
          <w:sz w:val="22"/>
          <w:szCs w:val="22"/>
          <w:lang w:val="ru-RU"/>
        </w:rPr>
        <w:t>. Поэтому ее определяют как вторичную моделирующую систему. Конечно, литература – не единственная вторичная моделирующая система, но рассмотрение ее в этом ряду увело бы нас слишком далеко в сторону от нашей непосредственной задачи.</w:t>
      </w:r>
    </w:p>
    <w:p w14:paraId="35E6418F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Сказать, что у литературы есть свой язык, не совпадающий с ее естественным языком, а надстраивающийся над ним, – значит, сказать, что литература имеет свою, только ей присущую систему знаков и правил их соединения, которые служат для передачи особых, иными средствами не передаваемых сообщений</w:t>
      </w:r>
      <w:r w:rsidRPr="003803D0">
        <w:rPr>
          <w:rFonts w:ascii="Arial" w:hAnsi="Arial" w:cs="Arial"/>
          <w:color w:val="000000"/>
          <w:sz w:val="22"/>
          <w:szCs w:val="22"/>
          <w:lang w:val="ru-RU"/>
        </w:rPr>
        <w:t>. Попробуем это доказать.</w:t>
      </w:r>
    </w:p>
    <w:p w14:paraId="5D6DD31B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 xml:space="preserve">В естественных языках сравнительно легко выделяются знаки – устойчивые инвариантные единицы текста – и правила синтагматики. Знаки отчетливо разделяются на планы содержания и выражения, между которыми существует отношение взаимной </w:t>
      </w:r>
      <w:proofErr w:type="spellStart"/>
      <w:r w:rsidRPr="003803D0">
        <w:rPr>
          <w:rFonts w:ascii="Arial" w:hAnsi="Arial" w:cs="Arial"/>
          <w:color w:val="000000"/>
          <w:sz w:val="22"/>
          <w:szCs w:val="22"/>
          <w:lang w:val="ru-RU"/>
        </w:rPr>
        <w:t>необусловленности</w:t>
      </w:r>
      <w:proofErr w:type="spellEnd"/>
      <w:r w:rsidRPr="003803D0">
        <w:rPr>
          <w:rFonts w:ascii="Arial" w:hAnsi="Arial" w:cs="Arial"/>
          <w:color w:val="000000"/>
          <w:sz w:val="22"/>
          <w:szCs w:val="22"/>
          <w:lang w:val="ru-RU"/>
        </w:rPr>
        <w:t>, исторической конвенциональности. В словесном художественном тексте не только границы знаков иные, но иное и само понятие знака.</w:t>
      </w:r>
    </w:p>
    <w:p w14:paraId="59488993" w14:textId="6BF134FD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Нам уже приходилось писать, что знаки в искусстве имеют не условный, как в языке, а иконический, изобразительный характер. Положение это, очевидное для изобразительных искусств, применительно к словесным влечет за собой ряд существенных выводов. Иконические знаки построены по принципу обусловленной связи между выражением и содержанием. Поэтому разграничение планов выражения и содержания в обычном для структурной </w:t>
      </w:r>
      <w:r w:rsidRPr="00857FD4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лингвистики смысле </w:t>
      </w:r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делается вообще затруднительным. Знак моделирует свое содержание. Понятно, что в этих условиях в художественном тексте происходит </w:t>
      </w:r>
      <w:proofErr w:type="spellStart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семантизация</w:t>
      </w:r>
      <w:proofErr w:type="spellEnd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</w:t>
      </w:r>
      <w:proofErr w:type="spellStart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внесемантических</w:t>
      </w:r>
      <w:proofErr w:type="spellEnd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(синтаксических) элементов естественного языка. Вместо четкой </w:t>
      </w:r>
      <w:proofErr w:type="spellStart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разграниченности</w:t>
      </w:r>
      <w:proofErr w:type="spellEnd"/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семантических элементов происходит сложное переплетение: синтагматическое на одном уровне иерархии художественного текста оказывается семантическим на другом.</w:t>
      </w:r>
    </w:p>
    <w:p w14:paraId="4ED2B347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 xml:space="preserve">Но тут следует напомнить, что именно синтагматические элементы в естественном языке отмечают границы знаков и членят текст на семантические единицы. </w:t>
      </w:r>
      <w:r w:rsidRPr="00E03BC1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Снятие оппозиции «семантика – синтактика» приводит к размыванию границ знака. Сказать: все элементы текста суть элементы семантические – означает сказать: понятие текста в данном случае идентично понятию знака.</w:t>
      </w:r>
    </w:p>
    <w:p w14:paraId="043493B2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432686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В определенном отношении это так и есть: текст есть целостный знак, и все отдельные знаки общеязыкового текста сведены в нем до уровня элементов знака.</w:t>
      </w:r>
    </w:p>
    <w:p w14:paraId="7012D287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432686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Таким образом, каждый художественный текст создается как уникальный, </w:t>
      </w:r>
      <w:r w:rsidRPr="00432686">
        <w:rPr>
          <w:rFonts w:ascii="Arial" w:hAnsi="Arial" w:cs="Arial"/>
          <w:color w:val="000000"/>
          <w:sz w:val="22"/>
          <w:szCs w:val="22"/>
          <w:highlight w:val="yellow"/>
        </w:rPr>
        <w:t>ad</w:t>
      </w:r>
      <w:r w:rsidRPr="00432686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</w:t>
      </w:r>
      <w:r w:rsidRPr="00432686">
        <w:rPr>
          <w:rFonts w:ascii="Arial" w:hAnsi="Arial" w:cs="Arial"/>
          <w:color w:val="000000"/>
          <w:sz w:val="22"/>
          <w:szCs w:val="22"/>
          <w:highlight w:val="yellow"/>
        </w:rPr>
        <w:t>hoc</w:t>
      </w:r>
      <w:r w:rsidRPr="00432686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сконструированный знак особого содержания. Это на первый взгляд противоречит известному положению о том, что только повторяемые элементы, образующие некоторое замкнутое множество, могут служить передаче информации. Однако противоречие здесь кажущееся. Во-первых, как мы уже отмечали, созданная писателем окказиональная структура модели навязывается читателю уже как язык его сознания. Окказиональность заменяется универсальностью. Но дело не только в этом. «Уникальный» знак оказывается «собранным» из типовых элементов и на определенном уровне «читается» по традиционным правилам. Всякое новаторское произведение строится из традиционного материала. Если текст не поддерживает памяти о традиционном построении, его новаторство перестает восприниматься.</w:t>
      </w:r>
    </w:p>
    <w:p w14:paraId="1D236E18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Образующий один знак, текст одновременно остается текстом (последовательностью знаков) на каком-либо естественном языке и уже поэтому сохраняет разбиение на </w:t>
      </w: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lastRenderedPageBreak/>
        <w:t>слова – знаки общеязыковой системы</w:t>
      </w:r>
      <w:r w:rsidRPr="003803D0">
        <w:rPr>
          <w:rFonts w:ascii="Arial" w:hAnsi="Arial" w:cs="Arial"/>
          <w:color w:val="000000"/>
          <w:sz w:val="22"/>
          <w:szCs w:val="22"/>
          <w:lang w:val="ru-RU"/>
        </w:rPr>
        <w:t>. Так возникает то характерное для искусства явление, согласно которому один и тот же текст при приложении к нему различных кодов различным образом распадается на знаки.</w:t>
      </w:r>
    </w:p>
    <w:p w14:paraId="73435BAB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Одновременно с превращением общеязыковых знаков в элементы художественного знака протекает и противоположный процесс. Элементы знака в системе естественного языка – фонемы, морфемы, – становясь в ряды некоторых упорядоченных повторяемостей, </w:t>
      </w:r>
      <w:proofErr w:type="spellStart"/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семантизируются</w:t>
      </w:r>
      <w:proofErr w:type="spellEnd"/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 и становятся знаками. Таким образом, один и тот же текст может быть прочтен как некоторая образованная по правилам естественного языка цепочка знаков, как последовательность знаков более крупных, чем членение текста на слова, вплоть до превращения текста в единый знак, и как организованная особым образом цепочка знаков более дробных, чем слово, вплоть до фонем.</w:t>
      </w:r>
    </w:p>
    <w:p w14:paraId="7A209DDD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 xml:space="preserve">Правила синтагматики текста также связаны с этим положением. Дело не только в том, что семантические и синтагматические элементы оказываются </w:t>
      </w:r>
      <w:proofErr w:type="spellStart"/>
      <w:r w:rsidRPr="003803D0">
        <w:rPr>
          <w:rFonts w:ascii="Arial" w:hAnsi="Arial" w:cs="Arial"/>
          <w:color w:val="000000"/>
          <w:sz w:val="22"/>
          <w:szCs w:val="22"/>
          <w:lang w:val="ru-RU"/>
        </w:rPr>
        <w:t>взаимообратимыми</w:t>
      </w:r>
      <w:proofErr w:type="spellEnd"/>
      <w:r w:rsidRPr="003803D0">
        <w:rPr>
          <w:rFonts w:ascii="Arial" w:hAnsi="Arial" w:cs="Arial"/>
          <w:color w:val="000000"/>
          <w:sz w:val="22"/>
          <w:szCs w:val="22"/>
          <w:lang w:val="ru-RU"/>
        </w:rPr>
        <w:t xml:space="preserve">, но и в другом: </w:t>
      </w: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художественный текст выступает и как совокупность фраз, и как фраза, и как слово одновременно</w:t>
      </w:r>
      <w:r w:rsidRPr="003803D0">
        <w:rPr>
          <w:rFonts w:ascii="Arial" w:hAnsi="Arial" w:cs="Arial"/>
          <w:color w:val="000000"/>
          <w:sz w:val="22"/>
          <w:szCs w:val="22"/>
          <w:lang w:val="ru-RU"/>
        </w:rPr>
        <w:t>. В каждом из этих случаев характер синтагматических связей различен. Первые два случая не нуждаются в комментариях, зато на последнем следует остановиться. (34)</w:t>
      </w:r>
    </w:p>
    <w:p w14:paraId="5055131B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>Будет ошибочным полагать, что совпадение границ знака с границами текста снимает проблему синтагматики. Рассмотренный таким образом текст может распадаться на знаки и соответственно синтагматически организовываться. Но это будет не синтагматика цепочки, а синтагматика иерархии – знаки будут связаны, как куклы-матрешки, вкладываемые одна в другую.</w:t>
      </w:r>
    </w:p>
    <w:p w14:paraId="6ACADB55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>Подобная синтагматика вполне реальна для построения художественного текста, и если она непривычна для лингвиста, то историк культуры легко найдет ей параллели, например в структуре мира, увиденного глазами средневековья.</w:t>
      </w:r>
    </w:p>
    <w:p w14:paraId="034D34A2" w14:textId="77777777" w:rsidR="00857FD4" w:rsidRPr="003803D0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>Для мыслителя средневековья мир – не совокупность сущностей, а сущность, не фраза, а слово. Но это слово иерархически состоит из отдельных, как бы вложенных друг в друга слов. Истина не в количественном накоплении, а в углублении (надо не читать много книг – много слов, – а вчитываться в одно слово, не накоплять новые знания, а толковать старые).</w:t>
      </w:r>
    </w:p>
    <w:p w14:paraId="43E8DBEE" w14:textId="77777777" w:rsidR="00857FD4" w:rsidRPr="0094462D" w:rsidRDefault="00857FD4" w:rsidP="00857FD4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  <w:highlight w:val="yellow"/>
          <w:lang w:val="ru-RU"/>
        </w:rPr>
      </w:pPr>
      <w:r w:rsidRPr="003803D0">
        <w:rPr>
          <w:rFonts w:ascii="Arial" w:hAnsi="Arial" w:cs="Arial"/>
          <w:color w:val="000000"/>
          <w:sz w:val="22"/>
          <w:szCs w:val="22"/>
          <w:lang w:val="ru-RU"/>
        </w:rPr>
        <w:t xml:space="preserve">Из сказанного вытекает, что </w:t>
      </w:r>
      <w:r w:rsidRPr="00432686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 xml:space="preserve">словесное искусство хотя и основывается на естественном языке, но лишь с тем, чтобы преобразовать его в свой – вторичный – язык, язык искусства. А сам этот язык искусства – сложная иерархия языков, взаимно соотнесенных, но не одинаковых. С этим связана принципиальная множественность возможных прочтений художественного текста. С этим же, видимо, связана не доступная никаким другим – нехудожественным – языкам смысловая насыщенность искусства. Искусство </w:t>
      </w: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– самый экономный и компактный способ хранения и передачи информации. Но искусство обладает и другими свойствами, которые вполне достойны привлечь внимание специалиста-кибернетика, а со временем, может быть, и инженера-конструктора.</w:t>
      </w:r>
    </w:p>
    <w:p w14:paraId="022E082B" w14:textId="558037FE" w:rsidR="00732950" w:rsidRPr="00432686" w:rsidRDefault="00857FD4" w:rsidP="00432686">
      <w:pPr>
        <w:pStyle w:val="NormaleWeb"/>
        <w:ind w:left="708"/>
        <w:jc w:val="both"/>
        <w:rPr>
          <w:rFonts w:ascii="Arial" w:hAnsi="Arial" w:cs="Arial"/>
          <w:color w:val="000000"/>
          <w:sz w:val="22"/>
          <w:szCs w:val="22"/>
        </w:rPr>
      </w:pPr>
      <w:r w:rsidRPr="0094462D">
        <w:rPr>
          <w:rFonts w:ascii="Arial" w:hAnsi="Arial" w:cs="Arial"/>
          <w:color w:val="000000"/>
          <w:sz w:val="22"/>
          <w:szCs w:val="22"/>
          <w:highlight w:val="yellow"/>
          <w:lang w:val="ru-RU"/>
        </w:rPr>
        <w:t>Обладая способностью концентрировать огромную информацию на «площади» очень небольшого текста (ср. объем повести Чехова и учебника психологии), художественный текст имеет еще одну особенность: он выдает разным читателям различную информацию – каждому в меру его понимания, он же дает читателю язык, на котором можно усвоить следующую порцию сведений при повторном чтении. Он ведет себя как некоторый живой организм, находящийся в обратной связи с читателем и обучающий этого читателя</w:t>
      </w:r>
      <w:r w:rsidRPr="003803D0">
        <w:rPr>
          <w:rFonts w:ascii="Arial" w:hAnsi="Arial" w:cs="Arial"/>
          <w:color w:val="000000"/>
          <w:sz w:val="22"/>
          <w:szCs w:val="22"/>
          <w:lang w:val="ru-RU"/>
        </w:rPr>
        <w:t>.</w:t>
      </w:r>
    </w:p>
    <w:sectPr w:rsidR="00732950" w:rsidRPr="004326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D4"/>
    <w:rsid w:val="000B2C32"/>
    <w:rsid w:val="00432686"/>
    <w:rsid w:val="00512F5C"/>
    <w:rsid w:val="00715F40"/>
    <w:rsid w:val="00732950"/>
    <w:rsid w:val="00857FD4"/>
    <w:rsid w:val="009513A7"/>
    <w:rsid w:val="00B80685"/>
    <w:rsid w:val="00E5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0C7151"/>
  <w15:chartTrackingRefBased/>
  <w15:docId w15:val="{CB65F495-4537-AF4A-B011-9CE820D9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7FD4"/>
  </w:style>
  <w:style w:type="paragraph" w:styleId="Titolo1">
    <w:name w:val="heading 1"/>
    <w:basedOn w:val="Normale"/>
    <w:next w:val="Normale"/>
    <w:link w:val="Titolo1Carattere"/>
    <w:uiPriority w:val="9"/>
    <w:qFormat/>
    <w:rsid w:val="00857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7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7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7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7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7F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7F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7F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7F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7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7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7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7FD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7FD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7FD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7FD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7FD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7FD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7F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7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7F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7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7F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7FD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7FD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7FD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7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7FD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7FD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857FD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873</Words>
  <Characters>5891</Characters>
  <Application>Microsoft Office Word</Application>
  <DocSecurity>0</DocSecurity>
  <Lines>96</Lines>
  <Paragraphs>18</Paragraphs>
  <ScaleCrop>false</ScaleCrop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NAPOLITANO MARTINA</dc:creator>
  <cp:keywords/>
  <dc:description/>
  <cp:lastModifiedBy>NAPOLITANO MARTINA</cp:lastModifiedBy>
  <cp:revision>2</cp:revision>
  <dcterms:created xsi:type="dcterms:W3CDTF">2025-10-14T13:41:00Z</dcterms:created>
  <dcterms:modified xsi:type="dcterms:W3CDTF">2026-10-21T09:12:00Z</dcterms:modified>
</cp:coreProperties>
</file>